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atLeast"/>
        <w:rPr>
          <w:rFonts w:ascii="仿宋" w:hAnsi="仿宋" w:eastAsia="仿宋_GB2312"/>
          <w:sz w:val="32"/>
        </w:rPr>
      </w:pPr>
      <w:r>
        <w:rPr>
          <w:rFonts w:hint="eastAsia" w:ascii="仿宋" w:hAnsi="仿宋" w:eastAsia="仿宋_GB2312"/>
          <w:sz w:val="32"/>
        </w:rPr>
        <mc:AlternateContent>
          <mc:Choice Requires="wps">
            <w:drawing>
              <wp:anchor distT="0" distB="0" distL="114300" distR="114300" simplePos="0" relativeHeight="251660288" behindDoc="0" locked="0" layoutInCell="1" allowOverlap="1">
                <wp:simplePos x="0" y="0"/>
                <wp:positionH relativeFrom="page">
                  <wp:posOffset>1009650</wp:posOffset>
                </wp:positionH>
                <wp:positionV relativeFrom="page">
                  <wp:posOffset>937895</wp:posOffset>
                </wp:positionV>
                <wp:extent cx="5544185" cy="850900"/>
                <wp:effectExtent l="0" t="0" r="0" b="6985"/>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5544185" cy="850789"/>
                        </a:xfrm>
                        <a:prstGeom prst="rect">
                          <a:avLst/>
                        </a:prstGeom>
                        <a:noFill/>
                        <a:ln w="9525">
                          <a:noFill/>
                          <a:miter lim="800000"/>
                        </a:ln>
                      </wps:spPr>
                      <wps:txbx>
                        <w:txbxContent>
                          <w:p>
                            <w:pPr>
                              <w:jc w:val="distribute"/>
                              <w:rPr>
                                <w:rFonts w:eastAsia="方正小标宋简体"/>
                                <w:bCs/>
                                <w:snapToGrid w:val="0"/>
                                <w:color w:val="FF0000"/>
                                <w:w w:val="80"/>
                                <w:kern w:val="4"/>
                                <w:sz w:val="96"/>
                                <w:szCs w:val="96"/>
                              </w:rPr>
                            </w:pPr>
                            <w:r>
                              <w:rPr>
                                <w:rFonts w:eastAsia="方正小标宋简体"/>
                                <w:bCs/>
                                <w:snapToGrid w:val="0"/>
                                <w:color w:val="FF0000"/>
                                <w:w w:val="80"/>
                                <w:kern w:val="4"/>
                                <w:sz w:val="96"/>
                                <w:szCs w:val="96"/>
                              </w:rPr>
                              <w:t>中山大学</w:t>
                            </w:r>
                            <w:r>
                              <w:rPr>
                                <w:rFonts w:hint="eastAsia" w:eastAsia="方正小标宋简体"/>
                                <w:bCs/>
                                <w:snapToGrid w:val="0"/>
                                <w:color w:val="FF0000"/>
                                <w:w w:val="80"/>
                                <w:kern w:val="4"/>
                                <w:sz w:val="96"/>
                                <w:szCs w:val="96"/>
                              </w:rPr>
                              <w:t>中文系</w:t>
                            </w:r>
                          </w:p>
                          <w:p>
                            <w:pPr>
                              <w:jc w:val="distribute"/>
                              <w:rPr>
                                <w:sz w:val="96"/>
                                <w:szCs w:val="96"/>
                              </w:rPr>
                            </w:pPr>
                          </w:p>
                        </w:txbxContent>
                      </wps:txbx>
                      <wps:bodyPr rot="0" vert="horz" wrap="square" lIns="0" tIns="0" rIns="0" bIns="0" anchor="ctr" anchorCtr="0">
                        <a:noAutofit/>
                      </wps:bodyPr>
                    </wps:wsp>
                  </a:graphicData>
                </a:graphic>
              </wp:anchor>
            </w:drawing>
          </mc:Choice>
          <mc:Fallback>
            <w:pict>
              <v:shape id="_x0000_s1026" o:spid="_x0000_s1026" o:spt="202" type="#_x0000_t202" style="position:absolute;left:0pt;margin-left:79.5pt;margin-top:73.85pt;height:67pt;width:436.55pt;mso-position-horizontal-relative:page;mso-position-vertical-relative:page;z-index:251660288;v-text-anchor:middle;mso-width-relative:page;mso-height-relative:page;" filled="f" stroked="f" coordsize="21600,21600" o:gfxdata="UEsDBAoAAAAAAIdO4kAAAAAAAAAAAAAAAAAEAAAAZHJzL1BLAwQUAAAACACHTuJA/g/5OdoAAAAM&#10;AQAADwAAAGRycy9kb3ducmV2LnhtbE2PzU7DMBCE70i8g7VIXBC1E35SQpwKimhPHFJ4ADfeJlHj&#10;dRS7P/Tpuz3BbUc7mvmmmB1dL/Y4hs6ThmSiQCDV3nbUaPj5/ryfggjRkDW9J9TwiwFm5fVVYXLr&#10;D1ThfhUbwSEUcqOhjXHIpQx1i86EiR+Q+LfxozOR5dhIO5oDh7tepko9S2c64obWDDhvsd6udk4D&#10;vlX+9LUNC1e9f8wXm47wTi61vr1J1CuIiMf4Z4YLPqNDyUxrvyMbRM/66YW3RD4eswzExaEe0gTE&#10;WkM6TTKQZSH/jyjPUEsDBBQAAAAIAIdO4kBin+1xHQIAAB8EAAAOAAAAZHJzL2Uyb0RvYy54bWyt&#10;U0tu2zAQ3RfoHQjua8lu1DiC5SCNkaJA+gHSHoCmKIsoyWFJ2lJ6gOYGXXXTfc/lc3RIya6RbrKo&#10;FsKQw3kz7/FxcdlrRXbCeQmmotNJTokwHGppNhX9/OnmxZwSH5ipmQIjKnovPL1cPn+26GwpZtCC&#10;qoUjCGJ82dmKtiHYMss8b4VmfgJWGEw24DQLuHSbrHasQ3Stslmev8o6cLV1wIX3uLsaknREdE8B&#10;hKaRXKyAb7UwYUB1QrGAlHwrrafLNG3TCB4+NI0XgaiKItOQ/tgE43X8Z8sFKzeO2VbycQT2lBEe&#10;cdJMGmx6hFqxwMjWyX+gtOQOPDRhwkFnA5GkCLKY5o+0uWuZFYkLSu3tUXT//2D5+91HR2Rd0Zf5&#10;OSWGabzy/Y+H/c/f+1/fSdxEiTrrSzx5Z/Fs6F9Dj8ZJdL29Bf7FEwPXLTMbceUcdK1gNY44jZXZ&#10;SemA4yPIunsHNXZi2wAJqG+cjvqhIgTR8Xruj9cj+kA4bhbF2dl0XlDCMTcv8vP5RWrBykO1dT68&#10;EaBJDCrq8PoTOtvd+hCnYeXhSGxm4EYqlSygDOkqelHMilRwktEyoN+V1Ngzj9/YU5mRXSQ0UAv9&#10;uh/VWkN9jzwdDI7D94ZBC+4bJR26raL+65Y5QYl6a1CraM1D4A7B+hAww7G0ojw4SobFdUgmHlhc&#10;oYqNTASj3EPvcTr0TeI9ejwa83SdTv1918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5OdoA&#10;AAAMAQAADwAAAAAAAAABACAAAAAiAAAAZHJzL2Rvd25yZXYueG1sUEsBAhQAFAAAAAgAh07iQGKf&#10;7XEdAgAAHwQAAA4AAAAAAAAAAQAgAAAAKQEAAGRycy9lMm9Eb2MueG1sUEsFBgAAAAAGAAYAWQEA&#10;ALgFAAAAAA==&#10;">
                <v:fill on="f" focussize="0,0"/>
                <v:stroke on="f" miterlimit="8" joinstyle="miter"/>
                <v:imagedata o:title=""/>
                <o:lock v:ext="edit" aspectratio="f"/>
                <v:textbox inset="0mm,0mm,0mm,0mm">
                  <w:txbxContent>
                    <w:p>
                      <w:pPr>
                        <w:jc w:val="distribute"/>
                        <w:rPr>
                          <w:rFonts w:eastAsia="方正小标宋简体"/>
                          <w:bCs/>
                          <w:snapToGrid w:val="0"/>
                          <w:color w:val="FF0000"/>
                          <w:w w:val="80"/>
                          <w:kern w:val="4"/>
                          <w:sz w:val="96"/>
                          <w:szCs w:val="96"/>
                        </w:rPr>
                      </w:pPr>
                      <w:r>
                        <w:rPr>
                          <w:rFonts w:eastAsia="方正小标宋简体"/>
                          <w:bCs/>
                          <w:snapToGrid w:val="0"/>
                          <w:color w:val="FF0000"/>
                          <w:w w:val="80"/>
                          <w:kern w:val="4"/>
                          <w:sz w:val="96"/>
                          <w:szCs w:val="96"/>
                        </w:rPr>
                        <w:t>中山大学</w:t>
                      </w:r>
                      <w:r>
                        <w:rPr>
                          <w:rFonts w:hint="eastAsia" w:eastAsia="方正小标宋简体"/>
                          <w:bCs/>
                          <w:snapToGrid w:val="0"/>
                          <w:color w:val="FF0000"/>
                          <w:w w:val="80"/>
                          <w:kern w:val="4"/>
                          <w:sz w:val="96"/>
                          <w:szCs w:val="96"/>
                        </w:rPr>
                        <w:t>中文系</w:t>
                      </w:r>
                    </w:p>
                    <w:p>
                      <w:pPr>
                        <w:jc w:val="distribute"/>
                        <w:rPr>
                          <w:sz w:val="96"/>
                          <w:szCs w:val="96"/>
                        </w:rPr>
                      </w:pPr>
                    </w:p>
                  </w:txbxContent>
                </v:textbox>
              </v:shape>
            </w:pict>
          </mc:Fallback>
        </mc:AlternateContent>
      </w:r>
    </w:p>
    <w:p>
      <w:pPr>
        <w:adjustRightInd w:val="0"/>
        <w:snapToGrid w:val="0"/>
        <w:spacing w:line="560" w:lineRule="atLeast"/>
        <w:rPr>
          <w:rFonts w:ascii="仿宋" w:hAnsi="仿宋" w:eastAsia="仿宋_GB2312"/>
          <w:sz w:val="32"/>
        </w:rPr>
      </w:pPr>
    </w:p>
    <w:p>
      <w:pPr>
        <w:adjustRightInd w:val="0"/>
        <w:snapToGrid w:val="0"/>
        <w:spacing w:line="560" w:lineRule="atLeast"/>
        <w:ind w:right="70" w:firstLine="281" w:firstLineChars="88"/>
        <w:jc w:val="right"/>
        <w:rPr>
          <w:rFonts w:eastAsia="仿宋_GB2312"/>
          <w:sz w:val="32"/>
        </w:rPr>
      </w:pPr>
      <w:r>
        <w:rPr>
          <w:rFonts w:eastAsia="仿宋_GB2312"/>
          <w:sz w:val="32"/>
        </w:rPr>
        <mc:AlternateContent>
          <mc:Choice Requires="wps">
            <w:drawing>
              <wp:anchor distT="0" distB="0" distL="114300" distR="114300" simplePos="0" relativeHeight="251661312" behindDoc="0" locked="0" layoutInCell="1" allowOverlap="1">
                <wp:simplePos x="0" y="0"/>
                <wp:positionH relativeFrom="page">
                  <wp:posOffset>715010</wp:posOffset>
                </wp:positionH>
                <wp:positionV relativeFrom="page">
                  <wp:posOffset>9970770</wp:posOffset>
                </wp:positionV>
                <wp:extent cx="6120130" cy="0"/>
                <wp:effectExtent l="0" t="19050" r="52070" b="3810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0" cmpd="thinThick">
                          <a:solidFill>
                            <a:srgbClr val="FF0000"/>
                          </a:solidFill>
                          <a:round/>
                        </a:ln>
                      </wps:spPr>
                      <wps:bodyPr/>
                    </wps:wsp>
                  </a:graphicData>
                </a:graphic>
              </wp:anchor>
            </w:drawing>
          </mc:Choice>
          <mc:Fallback>
            <w:pict>
              <v:line id="_x0000_s1026" o:spid="_x0000_s1026" o:spt="20" style="position:absolute;left:0pt;margin-left:56.3pt;margin-top:785.1pt;height:0pt;width:481.9pt;mso-position-horizontal-relative:page;mso-position-vertical-relative:page;z-index:251661312;mso-width-relative:page;mso-height-relative:page;" filled="f" stroked="t" coordsize="21600,21600" o:gfxdata="UEsDBAoAAAAAAIdO4kAAAAAAAAAAAAAAAAAEAAAAZHJzL1BLAwQUAAAACACHTuJAkyc3hdYAAAAO&#10;AQAADwAAAGRycy9kb3ducmV2LnhtbE2PMU/DMBCFdyT+g3VIbNRORFMU4nSgYkBiIcDuxlcnIj6n&#10;sZuW/nquA4Lt3rund99V65MfxIxT7ANpyBYKBFIbbE9Ow8f7890DiJgMWTMEQg3fGGFdX19VprTh&#10;SG84N8kJLqFYGg1dSmMpZWw79CYuwojEu12YvEksJyftZI5c7geZK1VIb3riC50Z8anD9qs5eA3U&#10;nPd7t1u+9i+Da9k/f27mjda3N5l6BJHwlP7CcMFndKiZaRsOZKMYWGd5wVEeliuVg7hE1Kq4B7H9&#10;9WRdyf9v1D9QSwMEFAAAAAgAh07iQAfV5qXwAQAAvAMAAA4AAABkcnMvZTJvRG9jLnhtbK1TvW4b&#10;MQzeC/QdBO31nRM4KA4+Z7DhLmlrIO4D0DqdT4gkCpLss1+iL1CgWzt17N63afoYpeSfpsmSITcI&#10;okh+5PeRN77eGc220geFtubDQcmZtAIbZdc1/7Scv3nLWYhgG9BoZc33MvDryetX495V8gI71I30&#10;jEBsqHpX8y5GVxVFEJ00EAbopCVni95AJNOvi8ZDT+hGFxdleVX06BvnUcgQ6HV2cPIjon8OILat&#10;EnKGYmOkjQdULzVEohQ65QKf5G7bVor4sW2DjEzXnJjGfFIRuq/SWUzGUK09uE6JYwvwnBYecTKg&#10;LBU9Q80gAtt49QTKKOExYBsHAk1xIJIVIRbD8pE2tx04mbmQ1MGdRQ8vBys+bBeeqabmI84sGBr4&#10;/Zefvz9/+/PrK533P76zURKpd6Gi2Kld+ERT7Oytu0FxF5jFaQd2LXOzy70jhGHKKP5LSUZwVGrV&#10;v8eGYmATMSu2a71JkKQF2+XB7M+DkbvIBD1eDUmdS5qZOPkKqE6Jzof4TqJh6VJzrWzSDCrY3oSY&#10;GoHqFJKeLc6V1nnu2rKewC9HZYI2jlSInbJL2oW7DBFQqyaFp8Tg16up9mwLtEvzeUlf5kmeh2Ee&#10;N7Y5lNX2KENiftBwhc1+4U/y0FBzf8cFTFvz0M7Z/366y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JzeF1gAAAA4BAAAPAAAAAAAAAAEAIAAAACIAAABkcnMvZG93bnJldi54bWxQSwECFAAUAAAA&#10;CACHTuJAB9XmpfABAAC8AwAADgAAAAAAAAABACAAAAAlAQAAZHJzL2Uyb0RvYy54bWxQSwUGAAAA&#10;AAYABgBZAQAAhwUAAAAA&#10;">
                <v:fill on="f" focussize="0,0"/>
                <v:stroke weight="5pt" color="#FF0000" linestyle="thinThick" joinstyle="round"/>
                <v:imagedata o:title=""/>
                <o:lock v:ext="edit" aspectratio="f"/>
              </v:line>
            </w:pict>
          </mc:Fallback>
        </mc:AlternateContent>
      </w:r>
      <w:r>
        <w:rPr>
          <w:rFonts w:eastAsia="仿宋_GB2312"/>
          <w:sz w:val="32"/>
        </w:rPr>
        <mc:AlternateContent>
          <mc:Choice Requires="wps">
            <w:drawing>
              <wp:anchor distT="0" distB="0" distL="114300" distR="114300" simplePos="0" relativeHeight="251659264" behindDoc="0" locked="0" layoutInCell="1" allowOverlap="1">
                <wp:simplePos x="0" y="0"/>
                <wp:positionH relativeFrom="page">
                  <wp:posOffset>720090</wp:posOffset>
                </wp:positionH>
                <wp:positionV relativeFrom="page">
                  <wp:posOffset>1871980</wp:posOffset>
                </wp:positionV>
                <wp:extent cx="6120130" cy="0"/>
                <wp:effectExtent l="34290" t="33655" r="36830" b="330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0" cmpd="thickThin">
                          <a:solidFill>
                            <a:srgbClr val="FF0000"/>
                          </a:solidFill>
                          <a:round/>
                        </a:ln>
                      </wps:spPr>
                      <wps:bodyPr/>
                    </wps:wsp>
                  </a:graphicData>
                </a:graphic>
              </wp:anchor>
            </w:drawing>
          </mc:Choice>
          <mc:Fallback>
            <w:pict>
              <v:line id="_x0000_s1026" o:spid="_x0000_s1026" o:spt="20" style="position:absolute;left:0pt;margin-left:56.7pt;margin-top:147.4pt;height:0pt;width:481.9pt;mso-position-horizontal-relative:page;mso-position-vertical-relative:page;z-index:251659264;mso-width-relative:page;mso-height-relative:page;" filled="f" stroked="t" coordsize="21600,21600" o:gfxdata="UEsDBAoAAAAAAIdO4kAAAAAAAAAAAAAAAAAEAAAAZHJzL1BLAwQUAAAACACHTuJAWUjKPdYAAAAM&#10;AQAADwAAAGRycy9kb3ducmV2LnhtbE2PwWrDMBBE74X+g9hCb41kNzStYzmHQMjZbgj0plhb28Ra&#10;GUtOnL/vBgrtcWYfszP5Zna9uOAYOk8akoUCgVR721Gj4fC5e3kHEaIha3pPqOGGATbF40NuMuuv&#10;VOKlio3gEAqZ0dDGOGRShrpFZ8LCD0h8+/ajM5Hl2Eg7miuHu16mSr1JZzriD60ZcNtifa4mp2Ff&#10;zcHJZld19HXcH6awrcvypvXzU6LWICLO8Q+Ge32uDgV3OvmJbBA96+R1yaiG9GPJG+6EWq1SEKdf&#10;Sxa5/D+i+AFQSwMEFAAAAAgAh07iQEGKigbtAQAAvAMAAA4AAABkcnMvZTJvRG9jLnhtbK1TzW4T&#10;MRC+I/EOlu9kN62o0CqbHhKFS4FIDQ/geL1Zq7bH8jjZ5CV4ASRucOLInbehfQzG3iTQcumBPVie&#10;v8/zfTM7ud5bw3YqoAZX8/Go5Ew5CY12m5p/XC1eveEMo3CNMOBUzQ8K+fX05YtJ7yt1AR2YRgVG&#10;IA6r3te8i9FXRYGyU1bgCLxyFGwhWBHJDJuiCaIndGuKi7K8KnoIjQ8gFSJ550OQHxHDcwChbbVU&#10;c5Bbq1wcUIMyIhIl7LRHPs3dtq2S8UPboorM1JyYxnzSI3Rfp7OYTkS1CcJ3Wh5bEM9p4QknK7Sj&#10;R89QcxEF2wb9D5TVMgBCG0cSbDEQyYoQi3H5RJvbTniVuZDU6M+i4/+Dle93y8B0Q5vAmROWBn7/&#10;+cevT18ffn6h8/77NzZOIvUeK8qduWVINOXe3fobkHfIHMw64TYqN7s6eELIFcWjkmSgp6fW/Tto&#10;KEdsI2TF9m2wCZK0YPs8mMN5MGofmSTn1ZjUuaSZyVOsENWp0AeMbxVYli41N9olzUQldjcYqXVK&#10;PaUkt4OFNibP3TjWE/jl6zJBW08qRNqDu1V3nCaC0U1KT4UYNuuZCWwnaJcWi5K+pAzBP0oLsHXN&#10;4DeOwifmg4ZraA7LkMLJT0PNAMcFTFvzt52z/vx00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Z&#10;SMo91gAAAAwBAAAPAAAAAAAAAAEAIAAAACIAAABkcnMvZG93bnJldi54bWxQSwECFAAUAAAACACH&#10;TuJAQYqKBu0BAAC8AwAADgAAAAAAAAABACAAAAAlAQAAZHJzL2Uyb0RvYy54bWxQSwUGAAAAAAYA&#10;BgBZAQAAhAUAAAAA&#10;">
                <v:fill on="f" focussize="0,0"/>
                <v:stroke weight="5pt" color="#FF0000" linestyle="thickThin" joinstyle="round"/>
                <v:imagedata o:title=""/>
                <o:lock v:ext="edit" aspectratio="f"/>
              </v:line>
            </w:pict>
          </mc:Fallback>
        </mc:AlternateContent>
      </w:r>
      <w:r>
        <w:rPr>
          <w:rFonts w:eastAsia="仿宋_GB2312"/>
          <w:sz w:val="32"/>
        </w:rPr>
        <w:t>中文〔2020〕27号</w:t>
      </w:r>
    </w:p>
    <w:p>
      <w:pPr>
        <w:spacing w:line="500" w:lineRule="exact"/>
        <w:jc w:val="center"/>
        <w:rPr>
          <w:rFonts w:ascii="华文仿宋" w:hAnsi="华文仿宋" w:eastAsia="华文仿宋"/>
          <w:b/>
          <w:sz w:val="44"/>
          <w:szCs w:val="36"/>
        </w:rPr>
      </w:pPr>
    </w:p>
    <w:p>
      <w:pPr>
        <w:spacing w:line="500" w:lineRule="exact"/>
        <w:jc w:val="center"/>
        <w:rPr>
          <w:rFonts w:ascii="华文仿宋" w:hAnsi="华文仿宋" w:eastAsia="华文仿宋"/>
          <w:b/>
          <w:sz w:val="44"/>
          <w:szCs w:val="36"/>
        </w:rPr>
      </w:pPr>
    </w:p>
    <w:p>
      <w:pPr>
        <w:adjustRightInd w:val="0"/>
        <w:snapToGrid w:val="0"/>
        <w:spacing w:line="560" w:lineRule="atLeast"/>
        <w:jc w:val="center"/>
        <w:rPr>
          <w:rFonts w:ascii="方正小标宋简体" w:hAnsi="楷体" w:eastAsia="方正小标宋简体"/>
          <w:sz w:val="44"/>
        </w:rPr>
      </w:pPr>
      <w:r>
        <w:rPr>
          <w:rFonts w:hint="eastAsia" w:ascii="方正小标宋简体" w:hAnsi="楷体" w:eastAsia="方正小标宋简体"/>
          <w:sz w:val="44"/>
        </w:rPr>
        <w:t>中山大学中国语言文学系研究生奖助金评选办法（试行）</w:t>
      </w:r>
    </w:p>
    <w:p>
      <w:pPr>
        <w:rPr>
          <w:rFonts w:ascii="宋体" w:hAnsi="宋体"/>
        </w:rPr>
      </w:pPr>
    </w:p>
    <w:p>
      <w:pPr>
        <w:rPr>
          <w:rFonts w:ascii="宋体" w:hAnsi="宋体"/>
        </w:rPr>
      </w:pPr>
    </w:p>
    <w:p>
      <w:p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为规范我系研究生奖助金管理，本着鼓励研究生勤奋学习、奋发向上的原则，倡导研究生积极参加学术科研活动，培养研究生关心同学、服务集体的意识，促进我系研究生的全面发展，以此提升研究生的培养质量，根据《</w:t>
      </w:r>
      <w:r>
        <w:rPr>
          <w:rFonts w:ascii="仿宋_GB2312" w:hAnsi="仿宋_GB2312" w:eastAsia="仿宋_GB2312" w:cs="仿宋_GB2312"/>
          <w:sz w:val="32"/>
          <w:szCs w:val="32"/>
        </w:rPr>
        <w:t>中山大学研究生奖助规定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中山大学研究生奖助规定实施细则》</w:t>
      </w:r>
      <w:r>
        <w:rPr>
          <w:rFonts w:hint="eastAsia" w:ascii="仿宋_GB2312" w:hAnsi="仿宋_GB2312" w:eastAsia="仿宋_GB2312" w:cs="仿宋_GB2312"/>
          <w:sz w:val="32"/>
          <w:szCs w:val="32"/>
        </w:rPr>
        <w:t>《中山大学博士研究生“优生优培”资助计划实施办法》，结合我系实际情况，制定本方案。</w:t>
      </w:r>
    </w:p>
    <w:p>
      <w:pPr>
        <w:ind w:firstLine="544"/>
        <w:rPr>
          <w:rFonts w:ascii="仿宋_GB2312" w:hAnsi="仿宋_GB2312" w:eastAsia="仿宋_GB2312" w:cs="仿宋_GB2312"/>
          <w:sz w:val="32"/>
          <w:szCs w:val="32"/>
        </w:rPr>
      </w:pPr>
    </w:p>
    <w:p>
      <w:pPr>
        <w:numPr>
          <w:ilvl w:val="0"/>
          <w:numId w:val="1"/>
        </w:numPr>
        <w:ind w:firstLine="544"/>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总则</w:t>
      </w:r>
    </w:p>
    <w:p>
      <w:pPr>
        <w:numPr>
          <w:ilvl w:val="0"/>
          <w:numId w:val="2"/>
        </w:num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适用对象</w:t>
      </w:r>
    </w:p>
    <w:p>
      <w:pPr>
        <w:ind w:firstLine="544"/>
        <w:rPr>
          <w:rFonts w:ascii="仿宋_GB2312" w:hAnsi="仿宋_GB2312" w:eastAsia="仿宋_GB2312" w:cs="仿宋_GB2312"/>
          <w:b/>
          <w:sz w:val="32"/>
          <w:szCs w:val="32"/>
        </w:rPr>
      </w:pPr>
      <w:r>
        <w:rPr>
          <w:rFonts w:hint="eastAsia" w:ascii="仿宋_GB2312" w:hAnsi="仿宋_GB2312" w:eastAsia="仿宋_GB2312" w:cs="仿宋_GB2312"/>
          <w:sz w:val="32"/>
          <w:szCs w:val="32"/>
        </w:rPr>
        <w:t>本细则适用于中山大学中文系2017年以后录取的纳入全国研究生招生计划且在基本修业年限内的全日制非定向就业和专项计划定向就业但无固定工资收入的研究生。</w:t>
      </w:r>
    </w:p>
    <w:p>
      <w:pPr>
        <w:numPr>
          <w:ilvl w:val="0"/>
          <w:numId w:val="2"/>
        </w:num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参评资格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（一）学制内（专业硕士2年之内、学术硕士3年之内、博士4年之内）的在册全日制研究生。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（二）自研究生入学之后的第二学年起，奖助金评选主要考虑在上一学年度的学习成绩和综合表现（包括学术科研、社会工作、所获奖励等，参评时间为上一年9月至评选当年8月）。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 w:eastAsia="仿宋_GB2312"/>
          <w:sz w:val="32"/>
          <w:szCs w:val="32"/>
        </w:rPr>
        <w:t>参评奖学金者须在评选学年至少参加</w:t>
      </w:r>
      <w:r>
        <w:rPr>
          <w:rFonts w:ascii="仿宋_GB2312" w:hAnsi="仿宋" w:eastAsia="仿宋_GB2312"/>
          <w:sz w:val="32"/>
          <w:szCs w:val="32"/>
        </w:rPr>
        <w:t>6</w:t>
      </w:r>
      <w:r>
        <w:rPr>
          <w:rFonts w:hint="eastAsia" w:ascii="仿宋_GB2312" w:hAnsi="仿宋" w:eastAsia="仿宋_GB2312"/>
          <w:sz w:val="32"/>
          <w:szCs w:val="32"/>
        </w:rPr>
        <w:t>次系内举办的学术讲座。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（四）有以下情况之一者均不能参加当年一、二等奖助金的评定：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思想政治考核不合格者；</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参评年度有违反国家法律法规或违反校规校纪受纪律处分者；</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 一学期累计缺勤2周及以上者；</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 xml:space="preserve">. 在提交的申请资料中，经核实确认提供不实信息或隐瞒不利信息者；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 xml:space="preserve">. 考试作弊者；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 xml:space="preserve">. 在学术研究中有作伪、抄袭、剽窃他人成果、论文一稿多投等违反学术道德行为者；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 参评学年度课程成绩有不合格或补考、重考者；</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.不在规定时间内回校注册且不请假者（请假及学籍管理相关规定参照最新版《中山大学学位与研究生教育工作手册》）；</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.依据《中山大学博士研究生担任教学助理工作实施方案（试行）》，博士研究生必须担任教学助理，凡是未按该方案要求而无故不履行该职责者，或担任教学助理而考核不合格者；</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.导师及中山大学中文系认定的不予评奖的其他情形。</w:t>
      </w:r>
    </w:p>
    <w:p>
      <w:pPr>
        <w:numPr>
          <w:ilvl w:val="0"/>
          <w:numId w:val="2"/>
        </w:num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参评流程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中文系组成奖助金评审委员会，负责统筹奖助金评审工作，奖助金评审委员会以系研究生教育与学位专门委员会成员为主，同时由系分管学生工作的领导和学生代表各一名组成。每个专业推选一位学生代表组成奖助金审核小组，由审核小组成员推选正副组长，负责奖助金评审具体工作，人数较多的专业可请系研究生会协助分数统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奖助金评审委员会在系网站上公布当年的奖助金评定工作安排后，学生在截止日期之前提交本人上一学年度的学习成绩、学术活动情况、学生活动情况等材料，所有的加分材料须附有效证明。逾期不提供者，不予以加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（三）中文系奖助金审核小组对学生的评选资格进行核定，对学生提交的各项材料进行审核与计算，具体要求如下：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1.加分审核过程须公开，审核严谨认真，客观公正；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审核内容包括：学生的成绩是否有误、学生的加分证明是否齐全、所提交加分材料是否具备加分资格（符合加分条件且时间在评选年度）、各项加分分值是否符合加分细则、各大类加分是否超过上限、公益证明材料是否齐全、所加总分是否正确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3.审核过程中遇到争议以及无法按加分细则解释的情况，审核小组须反复讨论，并将讨论结果报告中文系研工办，由我系研工办广泛征询意见后确定最终结果；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4.审核分为一次审核、二次审核，加分计算后不同专业间需进行互相审核并请审核的专业代表签名，审核小组正副组长进行第二轮审核后签名；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5.审核小组成员涉及本人评分问题时必须回避，由小组其它成员对该成员予以评定。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奖助金审核小组结合学习成绩、学术活动加分、学生活动加分等，计算出学生的总成绩，并根据总成绩的高低进行排名（硕士生在各专业内部排名），依据各年级奖助金名额的分配情况，评选出一、二、三等奖助金的候选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（五）召开系研究生奖助金评审委员会工作会议，讨论并确定一、二、三等奖助金候选人名单。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（六）系奖助金评审委员会对评选结果进行公示，公示期不得少于三天。学生可自行核对公示的各项内容，公示期内如有异议可以向奖助金评审委员会提出复议。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学生有权对评选结果提出复议，基本程序为：当事人向该年级审核小组提出复议申请，经核实后确实存在问题的，附上审核小组的审核意见，交系研工办；经审核属实后，由研工办出具具体意见，更改结果并作出相关解释。</w:t>
      </w:r>
    </w:p>
    <w:p>
      <w:pPr>
        <w:rPr>
          <w:rFonts w:ascii="仿宋_GB2312" w:hAnsi="仿宋_GB2312" w:eastAsia="仿宋_GB2312" w:cs="仿宋_GB2312"/>
          <w:sz w:val="32"/>
          <w:szCs w:val="32"/>
        </w:rPr>
      </w:pPr>
    </w:p>
    <w:p>
      <w:pPr>
        <w:numPr>
          <w:ilvl w:val="0"/>
          <w:numId w:val="1"/>
        </w:numPr>
        <w:ind w:firstLine="544"/>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实施细则</w:t>
      </w:r>
    </w:p>
    <w:p>
      <w:pPr>
        <w:numPr>
          <w:ilvl w:val="0"/>
          <w:numId w:val="3"/>
        </w:num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硕士生奖助金评选方案实施细则</w:t>
      </w:r>
    </w:p>
    <w:p>
      <w:p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根据学校分配的名额及我系各专业人数，按比例委托系奖助金评选工作小组计算一、二、三等奖助金名额在各专业（九个专业）的分布；获得“优生优培”资助计划的硕博连读研究生，奖助标准按照“优生优培”资助计划有关规定实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（一）入学新生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入学新生一、二等奖助金适当向推免生倾斜。一、二等奖助金的分配按面试后最终成绩先后在各专业进行排名。未获得一、二等奖助金的新生原则上自然获得三等奖助金。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（二）在读二、三年级学生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在读二、三年级学生以个人上一学年度的总成绩作为奖助金评选的标准：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总成绩=学习成绩×60%＋学术活动加分×30%＋学生活动加分×10%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一、二等奖助金的分配按总成绩高低进行排名。未获得一、二等奖助金的学生原则上自然获得三等奖助金。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1.学习成绩</w:t>
      </w:r>
    </w:p>
    <w:p>
      <w:pPr>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（1）学习成绩总分为100分。学习成绩为上一学年度全部课程（必修+选修）的</w:t>
      </w:r>
      <w:r>
        <w:rPr>
          <w:rFonts w:hint="eastAsia" w:ascii="仿宋_GB2312" w:hAnsi="仿宋" w:eastAsia="仿宋_GB2312"/>
          <w:sz w:val="32"/>
          <w:szCs w:val="32"/>
        </w:rPr>
        <w:t>学业加权平均分。学习成绩直接从教务系统中读取（包括评选年度内所修的专业必修课、专业选修课、公共必修课所有科目的成绩）。</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（2）学业加权平均分计算方法如下：</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设学生全年所修的各科成绩为A1、A2、A3、……An，各科相应的学分分别为B1、B2、B3、……Bn，则学业加权平均分 = ∑(Ai*Bi) /∑Bi，（i =1，2，3， ……，n）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计算过程中，各科成绩均以教务系统导出的百分制成绩参与计算，算出加权平均分后折算为绩点制。（四舍五入，精确到小数点后六位）。</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（3）保研学生申请英语免修者，此门课程不算入奖助金评选。若不申请免修，则按考试成绩算入总成绩。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2.学术活动加分</w:t>
      </w:r>
    </w:p>
    <w:p>
      <w:p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学术活动主要包括在学术刊物上发表论文、作为主持人或课题组主要成员主持或参与课题研究（以申报书所列名单为准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、出版专著、参加学术会议并发表论文等方面。学术活动加分不超过100分。具体细则如下：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（1）在学术刊物上发表与专业相关的学术论文</w:t>
      </w:r>
    </w:p>
    <w:p>
      <w:pPr>
        <w:numPr>
          <w:ilvl w:val="0"/>
          <w:numId w:val="4"/>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刊物级别以《中山大学人文社会科学重要期刊目录原则（试行）》（2014年修订版）为准，学校若有新则以最新目录为依据；</w:t>
      </w:r>
    </w:p>
    <w:p>
      <w:pPr>
        <w:numPr>
          <w:ilvl w:val="0"/>
          <w:numId w:val="4"/>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论文合作完成者，须学生本人为第一作者，或导师为第一作者学生本人为第二作者；</w:t>
      </w:r>
    </w:p>
    <w:p>
      <w:pPr>
        <w:numPr>
          <w:ilvl w:val="0"/>
          <w:numId w:val="4"/>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符合参评资格的学生在一类重要期刊上发表论文直接确定为一等奖助金获得者；</w:t>
      </w:r>
    </w:p>
    <w:p>
      <w:pPr>
        <w:numPr>
          <w:ilvl w:val="0"/>
          <w:numId w:val="4"/>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在非一类重要核心期刊上发表论文：学生为独立作者的每篇加15分；导师为第一作者、学生本人为第二作者或学生本人为第一作者的，每篇加10分；</w:t>
      </w:r>
    </w:p>
    <w:p>
      <w:pPr>
        <w:numPr>
          <w:ilvl w:val="0"/>
          <w:numId w:val="4"/>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在普通刊物上发表论文：学生为独立作者的每篇加5分；导师为第一作者、学生本人为第二作者或学生本人为第一作者的，每篇加3分；学生在其它刊物上发表论文加分的总分不得超过10分。</w:t>
      </w:r>
    </w:p>
    <w:p>
      <w:pPr>
        <w:numPr>
          <w:ilvl w:val="0"/>
          <w:numId w:val="4"/>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在重要期刊上发表译作：学生本人为第一译者，每篇加3分；非第一译者，每篇加1.5分。学生在普通刊物上发表译作：学生本人为第一译者，每篇加1分；非第一译者，每篇加0.5分。</w:t>
      </w:r>
    </w:p>
    <w:p>
      <w:pPr>
        <w:numPr>
          <w:ilvl w:val="0"/>
          <w:numId w:val="4"/>
        </w:numPr>
        <w:ind w:firstLine="544"/>
        <w:rPr>
          <w:rFonts w:ascii="仿宋_GB2312" w:hAnsi="仿宋_GB2312" w:eastAsia="仿宋_GB2312" w:cs="仿宋_GB2312"/>
          <w:sz w:val="32"/>
          <w:szCs w:val="32"/>
        </w:rPr>
      </w:pPr>
      <w:r>
        <w:rPr>
          <w:rFonts w:hint="eastAsia" w:ascii="仿宋_GB2312" w:hAnsi="仿宋" w:eastAsia="仿宋_GB2312"/>
          <w:sz w:val="32"/>
          <w:szCs w:val="32"/>
        </w:rPr>
        <w:t>8</w:t>
      </w:r>
      <w:r>
        <w:rPr>
          <w:rFonts w:ascii="仿宋_GB2312" w:hAnsi="仿宋" w:eastAsia="仿宋_GB2312"/>
          <w:sz w:val="32"/>
          <w:szCs w:val="32"/>
        </w:rPr>
        <w:t>000</w:t>
      </w:r>
      <w:r>
        <w:rPr>
          <w:rFonts w:hint="eastAsia" w:ascii="仿宋_GB2312" w:hAnsi="仿宋" w:eastAsia="仿宋_GB2312"/>
          <w:sz w:val="32"/>
          <w:szCs w:val="32"/>
        </w:rPr>
        <w:t>字及以上学术综述、学术型书评按相应刊物级别论文标准进行加分。3</w:t>
      </w:r>
      <w:r>
        <w:rPr>
          <w:rFonts w:ascii="仿宋_GB2312" w:hAnsi="仿宋" w:eastAsia="仿宋_GB2312"/>
          <w:sz w:val="32"/>
          <w:szCs w:val="32"/>
        </w:rPr>
        <w:t>000</w:t>
      </w:r>
      <w:r>
        <w:rPr>
          <w:rFonts w:hint="eastAsia" w:ascii="仿宋_GB2312" w:hAnsi="仿宋" w:eastAsia="仿宋_GB2312"/>
          <w:sz w:val="32"/>
          <w:szCs w:val="32"/>
        </w:rPr>
        <w:t>至8</w:t>
      </w:r>
      <w:r>
        <w:rPr>
          <w:rFonts w:ascii="仿宋_GB2312" w:hAnsi="仿宋" w:eastAsia="仿宋_GB2312"/>
          <w:sz w:val="32"/>
          <w:szCs w:val="32"/>
        </w:rPr>
        <w:t>000</w:t>
      </w:r>
      <w:r>
        <w:rPr>
          <w:rFonts w:hint="eastAsia" w:ascii="仿宋_GB2312" w:hAnsi="仿宋" w:eastAsia="仿宋_GB2312"/>
          <w:sz w:val="32"/>
          <w:szCs w:val="32"/>
        </w:rPr>
        <w:t>字学术综述、学术型书评按相应刊物级别论文标准进行减半加分。重要期刊3</w:t>
      </w:r>
      <w:r>
        <w:rPr>
          <w:rFonts w:ascii="仿宋_GB2312" w:hAnsi="仿宋" w:eastAsia="仿宋_GB2312"/>
          <w:sz w:val="32"/>
          <w:szCs w:val="32"/>
        </w:rPr>
        <w:t>000</w:t>
      </w:r>
      <w:r>
        <w:rPr>
          <w:rFonts w:hint="eastAsia" w:ascii="仿宋_GB2312" w:hAnsi="仿宋" w:eastAsia="仿宋_GB2312"/>
          <w:sz w:val="32"/>
          <w:szCs w:val="32"/>
        </w:rPr>
        <w:t>字以下综述类论文分值等同于普通刊物论文，普通期刊3</w:t>
      </w:r>
      <w:r>
        <w:rPr>
          <w:rFonts w:ascii="仿宋_GB2312" w:hAnsi="仿宋" w:eastAsia="仿宋_GB2312"/>
          <w:sz w:val="32"/>
          <w:szCs w:val="32"/>
        </w:rPr>
        <w:t>000</w:t>
      </w:r>
      <w:r>
        <w:rPr>
          <w:rFonts w:hint="eastAsia" w:ascii="仿宋_GB2312" w:hAnsi="仿宋" w:eastAsia="仿宋_GB2312"/>
          <w:sz w:val="32"/>
          <w:szCs w:val="32"/>
        </w:rPr>
        <w:t>字以下综述类论文分值按普通刊物论文标准进行减半加分</w:t>
      </w:r>
      <w:r>
        <w:rPr>
          <w:rFonts w:hint="eastAsia" w:ascii="仿宋_GB2312" w:hAnsi="仿宋_GB2312" w:eastAsia="仿宋_GB2312" w:cs="仿宋_GB2312"/>
          <w:sz w:val="32"/>
          <w:szCs w:val="32"/>
        </w:rPr>
        <w:t>。</w:t>
      </w:r>
    </w:p>
    <w:p>
      <w:pPr>
        <w:numPr>
          <w:ilvl w:val="0"/>
          <w:numId w:val="4"/>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所提交的论文必须是在奖学金评选年度正式发表的，且第一作者单位必须为中山大学中文系，不采纳文章录用通知；</w:t>
      </w:r>
    </w:p>
    <w:p>
      <w:pPr>
        <w:numPr>
          <w:ilvl w:val="0"/>
          <w:numId w:val="4"/>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在国外学术期刊上发表学术论文，参照《中山大学人文社会科学重要期刊目录原则（试行）》（2014年修订版），经专家核定后,按国内论文的相应标准计分；</w:t>
      </w:r>
    </w:p>
    <w:p>
      <w:pPr>
        <w:numPr>
          <w:ilvl w:val="0"/>
          <w:numId w:val="4"/>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每篇论文字数原则上不少于3000字，每篇公开发表论文只计算一次加分（以最高分计）。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（2）作为主持人或课题组主要成员主持或参与课题研究</w:t>
      </w:r>
    </w:p>
    <w:p>
      <w:pPr>
        <w:numPr>
          <w:ilvl w:val="0"/>
          <w:numId w:val="5"/>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学生主持省部级（含省部级）以上课题，每主持一项课题加25分；学生主持校级及以上课题，每主持一项课题加12分；</w:t>
      </w:r>
    </w:p>
    <w:p>
      <w:pPr>
        <w:numPr>
          <w:ilvl w:val="0"/>
          <w:numId w:val="5"/>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学生作为主要成员（除主持人之外的前三位参与人，以项目申报书为准），参与省部级（含省部级）以上课题的，每参与一项加10分；参与校级（含校级）以上课题的，每参与一项加5分；</w:t>
      </w:r>
    </w:p>
    <w:p>
      <w:pPr>
        <w:numPr>
          <w:ilvl w:val="0"/>
          <w:numId w:val="5"/>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每一项课题只能参评一次。</w:t>
      </w:r>
    </w:p>
    <w:p>
      <w:pPr>
        <w:numPr>
          <w:ilvl w:val="0"/>
          <w:numId w:val="5"/>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课题的依托单位必须为中山大学。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（3）出版与专业相关的学术专著</w:t>
      </w:r>
    </w:p>
    <w:p>
      <w:pPr>
        <w:numPr>
          <w:ilvl w:val="0"/>
          <w:numId w:val="6"/>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学生个人每出版一部独立学术著作，加20分；学生个人每出版一部独立学术译著，加12分；</w:t>
      </w:r>
      <w:r>
        <w:rPr>
          <w:rFonts w:hint="eastAsia" w:ascii="仿宋_GB2312" w:hAnsi="仿宋" w:eastAsia="仿宋_GB2312"/>
          <w:sz w:val="32"/>
          <w:szCs w:val="32"/>
        </w:rPr>
        <w:t>汇编类学术著作、文化普及类分值等同于译作分值。</w:t>
      </w:r>
    </w:p>
    <w:p>
      <w:pPr>
        <w:numPr>
          <w:ilvl w:val="0"/>
          <w:numId w:val="6"/>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参著或参译的专著或教材必须是公开出版发行的，参著或参译字数为一万字以上，按所撰写章节、篇幅在全书中所占比例加分； </w:t>
      </w:r>
    </w:p>
    <w:p>
      <w:pPr>
        <w:numPr>
          <w:ilvl w:val="0"/>
          <w:numId w:val="6"/>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著作必须是研究生期间正式出版的，不采纳出版录用稿通知，且第一作者单位必须为中山大学中文系或中文系相关科研机构。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（4）参加学术会议并宣读论文</w:t>
      </w:r>
    </w:p>
    <w:p>
      <w:pPr>
        <w:numPr>
          <w:ilvl w:val="0"/>
          <w:numId w:val="7"/>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参加学术会议（校级以上，不含校级）并宣读论文且学生为第一作者，每次加5分；</w:t>
      </w:r>
    </w:p>
    <w:p>
      <w:pPr>
        <w:numPr>
          <w:ilvl w:val="0"/>
          <w:numId w:val="7"/>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参加学术会议并宣读并论文加分的总分不得超过</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分。</w:t>
      </w:r>
    </w:p>
    <w:p>
      <w:pPr>
        <w:pStyle w:val="34"/>
        <w:ind w:left="42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（5）荣誉奖励加分</w:t>
      </w:r>
    </w:p>
    <w:tbl>
      <w:tblPr>
        <w:tblStyle w:val="13"/>
        <w:tblW w:w="8500"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36"/>
        <w:gridCol w:w="2046"/>
        <w:gridCol w:w="1854"/>
        <w:gridCol w:w="1700"/>
        <w:gridCol w:w="16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236" w:type="dxa"/>
            <w:tcBorders>
              <w:top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类别</w:t>
            </w:r>
          </w:p>
        </w:tc>
        <w:tc>
          <w:tcPr>
            <w:tcW w:w="204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级别</w:t>
            </w:r>
          </w:p>
        </w:tc>
        <w:tc>
          <w:tcPr>
            <w:tcW w:w="1854"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一等奖</w:t>
            </w:r>
          </w:p>
        </w:tc>
        <w:tc>
          <w:tcPr>
            <w:tcW w:w="1700"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二等奖</w:t>
            </w:r>
          </w:p>
        </w:tc>
        <w:tc>
          <w:tcPr>
            <w:tcW w:w="1664" w:type="dxa"/>
            <w:tcBorders>
              <w:top w:val="single" w:color="auto" w:sz="4" w:space="0"/>
              <w:left w:val="single" w:color="auto" w:sz="4" w:space="0"/>
              <w:bottom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三等奖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atLeast"/>
        </w:trPr>
        <w:tc>
          <w:tcPr>
            <w:tcW w:w="1236" w:type="dxa"/>
            <w:vMerge w:val="restart"/>
            <w:tcBorders>
              <w:top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学术类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荣誉</w:t>
            </w:r>
          </w:p>
        </w:tc>
        <w:tc>
          <w:tcPr>
            <w:tcW w:w="20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国家级</w:t>
            </w:r>
          </w:p>
        </w:tc>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20分</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15分</w:t>
            </w:r>
          </w:p>
        </w:tc>
        <w:tc>
          <w:tcPr>
            <w:tcW w:w="1664"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atLeast"/>
        </w:trPr>
        <w:tc>
          <w:tcPr>
            <w:tcW w:w="1236" w:type="dxa"/>
            <w:vMerge w:val="continue"/>
            <w:tcBorders>
              <w:right w:val="single" w:color="auto" w:sz="4" w:space="0"/>
            </w:tcBorders>
            <w:vAlign w:val="center"/>
          </w:tcPr>
          <w:p>
            <w:pPr>
              <w:rPr>
                <w:rFonts w:ascii="仿宋_GB2312" w:hAnsi="仿宋_GB2312" w:eastAsia="仿宋_GB2312" w:cs="仿宋_GB2312"/>
                <w:sz w:val="32"/>
                <w:szCs w:val="32"/>
              </w:rP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省级</w:t>
            </w:r>
          </w:p>
        </w:tc>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15分</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12分</w:t>
            </w:r>
          </w:p>
        </w:tc>
        <w:tc>
          <w:tcPr>
            <w:tcW w:w="1664"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atLeast"/>
        </w:trPr>
        <w:tc>
          <w:tcPr>
            <w:tcW w:w="1236" w:type="dxa"/>
            <w:vMerge w:val="continue"/>
            <w:tcBorders>
              <w:right w:val="single" w:color="auto" w:sz="4" w:space="0"/>
            </w:tcBorders>
            <w:vAlign w:val="center"/>
          </w:tcPr>
          <w:p>
            <w:pPr>
              <w:rPr>
                <w:rFonts w:ascii="仿宋_GB2312" w:hAnsi="仿宋_GB2312" w:eastAsia="仿宋_GB2312" w:cs="仿宋_GB2312"/>
                <w:sz w:val="32"/>
                <w:szCs w:val="32"/>
              </w:rP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校级</w:t>
            </w:r>
          </w:p>
        </w:tc>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12分</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1664"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atLeast"/>
        </w:trPr>
        <w:tc>
          <w:tcPr>
            <w:tcW w:w="1236" w:type="dxa"/>
            <w:vMerge w:val="continue"/>
            <w:tcBorders>
              <w:right w:val="single" w:color="auto" w:sz="4" w:space="0"/>
            </w:tcBorders>
            <w:vAlign w:val="center"/>
          </w:tcPr>
          <w:p>
            <w:pPr>
              <w:rPr>
                <w:rFonts w:ascii="仿宋_GB2312" w:hAnsi="仿宋_GB2312" w:eastAsia="仿宋_GB2312" w:cs="仿宋_GB2312"/>
                <w:sz w:val="32"/>
                <w:szCs w:val="32"/>
              </w:rP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系级</w:t>
            </w:r>
          </w:p>
        </w:tc>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8分</w:t>
            </w:r>
          </w:p>
        </w:tc>
        <w:tc>
          <w:tcPr>
            <w:tcW w:w="1664"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123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说  明</w:t>
            </w:r>
          </w:p>
        </w:tc>
        <w:tc>
          <w:tcPr>
            <w:tcW w:w="7264"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1、学术类竞赛指科研项目成果奖、优秀学术论文奖、“挑战杯”课外学术科技作品竞赛获奖等。</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2、同一成果获得多项奖励，只按所获最高奖项计分。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3、不分等级的奖项按二等奖计分。</w:t>
            </w:r>
          </w:p>
        </w:tc>
      </w:tr>
    </w:tbl>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3.学生活动加分</w:t>
      </w:r>
    </w:p>
    <w:p>
      <w:pPr>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学生活动加分不超过100分且不超过学术活动加分。学生活动加分主要包括荣誉奖励加分、担任学生干部加分、参与公益活动加分</w:t>
      </w:r>
      <w:r>
        <w:rPr>
          <w:rFonts w:hint="eastAsia" w:ascii="仿宋_GB2312" w:hAnsi="仿宋_GB2312" w:eastAsia="仿宋_GB2312" w:cs="仿宋_GB2312"/>
          <w:b/>
          <w:sz w:val="32"/>
          <w:szCs w:val="32"/>
        </w:rPr>
        <w:t>（需要出示所在组织的盖章证明，证明其任职满一年，且表现良好）。</w:t>
      </w:r>
    </w:p>
    <w:p>
      <w:pPr>
        <w:numPr>
          <w:ilvl w:val="0"/>
          <w:numId w:val="8"/>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荣誉奖励加分</w:t>
      </w:r>
    </w:p>
    <w:tbl>
      <w:tblPr>
        <w:tblStyle w:val="13"/>
        <w:tblW w:w="8500"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36"/>
        <w:gridCol w:w="2046"/>
        <w:gridCol w:w="1854"/>
        <w:gridCol w:w="1700"/>
        <w:gridCol w:w="16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236" w:type="dxa"/>
            <w:tcBorders>
              <w:top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类别</w:t>
            </w:r>
          </w:p>
        </w:tc>
        <w:tc>
          <w:tcPr>
            <w:tcW w:w="204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级别</w:t>
            </w:r>
          </w:p>
        </w:tc>
        <w:tc>
          <w:tcPr>
            <w:tcW w:w="1854"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一等奖</w:t>
            </w:r>
          </w:p>
        </w:tc>
        <w:tc>
          <w:tcPr>
            <w:tcW w:w="1700"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二等奖</w:t>
            </w:r>
          </w:p>
        </w:tc>
        <w:tc>
          <w:tcPr>
            <w:tcW w:w="1664" w:type="dxa"/>
            <w:tcBorders>
              <w:top w:val="single" w:color="auto" w:sz="4" w:space="0"/>
              <w:left w:val="single" w:color="auto" w:sz="4" w:space="0"/>
              <w:bottom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三等奖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atLeast"/>
        </w:trPr>
        <w:tc>
          <w:tcPr>
            <w:tcW w:w="1236" w:type="dxa"/>
            <w:vMerge w:val="restart"/>
            <w:tcBorders>
              <w:top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非学术类荣誉</w:t>
            </w:r>
          </w:p>
        </w:tc>
        <w:tc>
          <w:tcPr>
            <w:tcW w:w="20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国家级</w:t>
            </w:r>
          </w:p>
        </w:tc>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15分</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12分</w:t>
            </w:r>
          </w:p>
        </w:tc>
        <w:tc>
          <w:tcPr>
            <w:tcW w:w="1664"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atLeast"/>
        </w:trPr>
        <w:tc>
          <w:tcPr>
            <w:tcW w:w="1236" w:type="dxa"/>
            <w:vMerge w:val="continue"/>
            <w:tcBorders>
              <w:right w:val="single" w:color="auto" w:sz="4" w:space="0"/>
            </w:tcBorders>
            <w:vAlign w:val="center"/>
          </w:tcPr>
          <w:p>
            <w:pPr>
              <w:jc w:val="center"/>
              <w:rPr>
                <w:rFonts w:ascii="仿宋_GB2312" w:hAnsi="仿宋_GB2312" w:eastAsia="仿宋_GB2312" w:cs="仿宋_GB2312"/>
                <w:sz w:val="32"/>
                <w:szCs w:val="32"/>
              </w:rP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省级</w:t>
            </w:r>
          </w:p>
        </w:tc>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12分</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1664"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atLeast"/>
        </w:trPr>
        <w:tc>
          <w:tcPr>
            <w:tcW w:w="1236" w:type="dxa"/>
            <w:vMerge w:val="continue"/>
            <w:tcBorders>
              <w:right w:val="single" w:color="auto" w:sz="4" w:space="0"/>
            </w:tcBorders>
            <w:vAlign w:val="center"/>
          </w:tcPr>
          <w:p>
            <w:pPr>
              <w:jc w:val="center"/>
              <w:rPr>
                <w:rFonts w:ascii="仿宋_GB2312" w:hAnsi="仿宋_GB2312" w:eastAsia="仿宋_GB2312" w:cs="仿宋_GB2312"/>
                <w:sz w:val="32"/>
                <w:szCs w:val="32"/>
              </w:rP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校级</w:t>
            </w:r>
          </w:p>
        </w:tc>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8分</w:t>
            </w:r>
          </w:p>
        </w:tc>
        <w:tc>
          <w:tcPr>
            <w:tcW w:w="1664"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atLeast"/>
        </w:trPr>
        <w:tc>
          <w:tcPr>
            <w:tcW w:w="1236" w:type="dxa"/>
            <w:vMerge w:val="continue"/>
            <w:tcBorders>
              <w:right w:val="single" w:color="auto" w:sz="4" w:space="0"/>
            </w:tcBorders>
            <w:vAlign w:val="center"/>
          </w:tcPr>
          <w:p>
            <w:pPr>
              <w:jc w:val="center"/>
              <w:rPr>
                <w:rFonts w:ascii="仿宋_GB2312" w:hAnsi="仿宋_GB2312" w:eastAsia="仿宋_GB2312" w:cs="仿宋_GB2312"/>
                <w:sz w:val="32"/>
                <w:szCs w:val="32"/>
              </w:rP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系级</w:t>
            </w:r>
          </w:p>
        </w:tc>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8分</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6分</w:t>
            </w:r>
          </w:p>
        </w:tc>
        <w:tc>
          <w:tcPr>
            <w:tcW w:w="1664"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86" w:hRule="atLeast"/>
        </w:trPr>
        <w:tc>
          <w:tcPr>
            <w:tcW w:w="123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说  明</w:t>
            </w:r>
          </w:p>
        </w:tc>
        <w:tc>
          <w:tcPr>
            <w:tcW w:w="7264"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1、非学术类荣誉指各类综合比赛获奖、获各级先进团体或个人、优秀学生干部等。</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2、同一作品获得多项奖励，只按所获最高奖项计分。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3、不分等级的奖项按二等奖计分。</w:t>
            </w:r>
          </w:p>
        </w:tc>
      </w:tr>
    </w:tbl>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先进集体和个人奖励、表彰等的加分</w:t>
      </w:r>
    </w:p>
    <w:tbl>
      <w:tblPr>
        <w:tblStyle w:val="14"/>
        <w:tblW w:w="83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91"/>
        <w:gridCol w:w="1334"/>
        <w:gridCol w:w="1303"/>
        <w:gridCol w:w="1117"/>
        <w:gridCol w:w="14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jc w:val="center"/>
        </w:trPr>
        <w:tc>
          <w:tcPr>
            <w:tcW w:w="319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表彰级别</w:t>
            </w:r>
          </w:p>
        </w:tc>
        <w:tc>
          <w:tcPr>
            <w:tcW w:w="133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国家级</w:t>
            </w:r>
          </w:p>
        </w:tc>
        <w:tc>
          <w:tcPr>
            <w:tcW w:w="130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省级</w:t>
            </w:r>
          </w:p>
        </w:tc>
        <w:tc>
          <w:tcPr>
            <w:tcW w:w="111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市级</w:t>
            </w:r>
          </w:p>
        </w:tc>
        <w:tc>
          <w:tcPr>
            <w:tcW w:w="141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校级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jc w:val="center"/>
        </w:trPr>
        <w:tc>
          <w:tcPr>
            <w:tcW w:w="319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先进个人</w:t>
            </w:r>
          </w:p>
        </w:tc>
        <w:tc>
          <w:tcPr>
            <w:tcW w:w="133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30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11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1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jc w:val="center"/>
        </w:trPr>
        <w:tc>
          <w:tcPr>
            <w:tcW w:w="319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先进集体主要负责人</w:t>
            </w:r>
          </w:p>
        </w:tc>
        <w:tc>
          <w:tcPr>
            <w:tcW w:w="133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30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11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1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jc w:val="center"/>
        </w:trPr>
        <w:tc>
          <w:tcPr>
            <w:tcW w:w="319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先进集体一般负责人</w:t>
            </w:r>
          </w:p>
        </w:tc>
        <w:tc>
          <w:tcPr>
            <w:tcW w:w="133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30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11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0.5</w:t>
            </w:r>
          </w:p>
        </w:tc>
        <w:tc>
          <w:tcPr>
            <w:tcW w:w="141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1" w:hRule="atLeast"/>
          <w:jc w:val="center"/>
        </w:trPr>
        <w:tc>
          <w:tcPr>
            <w:tcW w:w="319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先进集体一般成员</w:t>
            </w:r>
          </w:p>
        </w:tc>
        <w:tc>
          <w:tcPr>
            <w:tcW w:w="133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30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0.5</w:t>
            </w:r>
          </w:p>
        </w:tc>
        <w:tc>
          <w:tcPr>
            <w:tcW w:w="111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0.3</w:t>
            </w:r>
          </w:p>
        </w:tc>
        <w:tc>
          <w:tcPr>
            <w:tcW w:w="141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0.2</w:t>
            </w:r>
          </w:p>
        </w:tc>
      </w:tr>
    </w:tbl>
    <w:p>
      <w:pPr>
        <w:rPr>
          <w:rFonts w:ascii="仿宋_GB2312" w:hAnsi="仿宋_GB2312" w:eastAsia="仿宋_GB2312" w:cs="仿宋_GB2312"/>
          <w:sz w:val="32"/>
          <w:szCs w:val="32"/>
        </w:rPr>
      </w:pPr>
    </w:p>
    <w:p>
      <w:pPr>
        <w:numPr>
          <w:ilvl w:val="0"/>
          <w:numId w:val="8"/>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担任学生干部加分</w:t>
      </w:r>
    </w:p>
    <w:p>
      <w:pPr>
        <w:numPr>
          <w:ilvl w:val="0"/>
          <w:numId w:val="9"/>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校学生干部</w:t>
      </w:r>
    </w:p>
    <w:tbl>
      <w:tblPr>
        <w:tblStyle w:val="13"/>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4"/>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71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担任职务</w:t>
            </w:r>
          </w:p>
        </w:tc>
        <w:tc>
          <w:tcPr>
            <w:tcW w:w="1286"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71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校研究生会主席</w:t>
            </w:r>
          </w:p>
        </w:tc>
        <w:tc>
          <w:tcPr>
            <w:tcW w:w="1286"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71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校区研究生会主席、校研究生会副主席</w:t>
            </w:r>
          </w:p>
        </w:tc>
        <w:tc>
          <w:tcPr>
            <w:tcW w:w="1286"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71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校研究生会常委、部长，校团委委员、部长</w:t>
            </w:r>
          </w:p>
        </w:tc>
        <w:tc>
          <w:tcPr>
            <w:tcW w:w="1286"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71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校研究生会副部长、校团委副部长、校区团工委部长</w:t>
            </w:r>
          </w:p>
        </w:tc>
        <w:tc>
          <w:tcPr>
            <w:tcW w:w="1286"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71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校区研究生会干事、校区团工委干事</w:t>
            </w:r>
          </w:p>
        </w:tc>
        <w:tc>
          <w:tcPr>
            <w:tcW w:w="1286"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71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其它</w:t>
            </w:r>
          </w:p>
        </w:tc>
        <w:tc>
          <w:tcPr>
            <w:tcW w:w="1286"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0.5</w:t>
            </w:r>
          </w:p>
        </w:tc>
      </w:tr>
    </w:tbl>
    <w:p>
      <w:pPr>
        <w:numPr>
          <w:ilvl w:val="0"/>
          <w:numId w:val="9"/>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系学生干部、各社团</w:t>
      </w:r>
    </w:p>
    <w:tbl>
      <w:tblPr>
        <w:tblStyle w:val="13"/>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6"/>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686"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担任职务</w:t>
            </w:r>
          </w:p>
        </w:tc>
        <w:tc>
          <w:tcPr>
            <w:tcW w:w="1294"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686"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系研究生会主席</w:t>
            </w:r>
          </w:p>
        </w:tc>
        <w:tc>
          <w:tcPr>
            <w:tcW w:w="1294"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686"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系研究生会副主席、系研究生会秘书长、系团委委员</w:t>
            </w:r>
          </w:p>
        </w:tc>
        <w:tc>
          <w:tcPr>
            <w:tcW w:w="1294"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7686"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系研究生会部长、系研究生会副秘书长；各年级团支书、党支书；经学校批准成立的社团第一负责人；校级刊物主编</w:t>
            </w:r>
          </w:p>
        </w:tc>
        <w:tc>
          <w:tcPr>
            <w:tcW w:w="1294"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7686"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系研究生会副部长；经学校批准成立的社团副职负责人、各部部长；校级刊物副主编</w:t>
            </w:r>
          </w:p>
        </w:tc>
        <w:tc>
          <w:tcPr>
            <w:tcW w:w="1294"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686"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其它</w:t>
            </w:r>
          </w:p>
        </w:tc>
        <w:tc>
          <w:tcPr>
            <w:tcW w:w="1294"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0.5</w:t>
            </w:r>
          </w:p>
        </w:tc>
      </w:tr>
    </w:tbl>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说明：学生干部必须任期满一年，且工作认真，组织考察鉴定合格。表现差者或完全没有履责者，可不加分或酌情减分；同一学生在担任不同组织的学生干部，且达到以上基本加分资格，可累加，该项加分总分不得超过10分。</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4.公益活动加分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为鼓励学生积极参加公益活动，凡一学年内参加公益活动的时长在50小时以上（含），均加1分。</w:t>
      </w:r>
    </w:p>
    <w:p>
      <w:pPr>
        <w:rPr>
          <w:rFonts w:ascii="仿宋_GB2312" w:hAnsi="仿宋_GB2312" w:eastAsia="仿宋_GB2312" w:cs="仿宋_GB2312"/>
          <w:sz w:val="32"/>
          <w:szCs w:val="32"/>
        </w:rPr>
      </w:pPr>
    </w:p>
    <w:p>
      <w:pPr>
        <w:numPr>
          <w:ilvl w:val="0"/>
          <w:numId w:val="3"/>
        </w:num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博士生奖助金评选方案实施细则</w:t>
      </w:r>
    </w:p>
    <w:p>
      <w:p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一等奖助金的获得者是获得“优生优培”资助计划的硕博连读研究生及直博生，奖助标准按照“优生优培”资助计划有关规定实施；二三等奖助金的名额由研究生院根据我系博士研究生的总人数按比例分配。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（一）入学新生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入学新生二等奖助金优先向硕博连读生倾斜，并主要结合考试情况，适当考虑论文发表情况；未获得一、二等奖助金的学生原则上考核合格自然获得三等奖助金。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（二）在读二、三年级学生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在读二、三年级主要根据学生的学术活动等情况，同时适当考虑学生的学生活动情况和各专业的平衡问题；未获得一、二等奖助金的学生原则上考核合格自然获得三等奖助金。</w:t>
      </w:r>
    </w:p>
    <w:p>
      <w:p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在读二、三年级学生以个人的综合成绩作为奖助金评选的标准：</w:t>
      </w:r>
    </w:p>
    <w:p>
      <w:p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综合成绩=学术活动加分+学生活动加分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1.学术活动加分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学术活动主要包括在学术刊物上发表论文、作为主持人或课题组主要成员主持或参与课题研究（以申报书所列名单为准）、出版专著、参加学术会议并发表论文等方面。具体细则如下：</w:t>
      </w:r>
    </w:p>
    <w:p>
      <w:pPr>
        <w:numPr>
          <w:ilvl w:val="0"/>
          <w:numId w:val="10"/>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在学术刊物上发表与专业相关的学术论文</w:t>
      </w:r>
    </w:p>
    <w:p>
      <w:pPr>
        <w:numPr>
          <w:ilvl w:val="0"/>
          <w:numId w:val="11"/>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刊物级别以《中山大学人文社会科学重要期刊目录原则（试行）》（2014年修订版）为准，学校若有新则以最新目录为依据；</w:t>
      </w:r>
    </w:p>
    <w:p>
      <w:pPr>
        <w:numPr>
          <w:ilvl w:val="0"/>
          <w:numId w:val="11"/>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论文合作完成者，须学生本人为第一作者，或导师为第一作者学生本人为第二作者；</w:t>
      </w:r>
    </w:p>
    <w:p>
      <w:pPr>
        <w:numPr>
          <w:ilvl w:val="0"/>
          <w:numId w:val="11"/>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符合参评资格的学生在一类重要期刊上发表论文直接确定为二等奖助金获得者；</w:t>
      </w:r>
    </w:p>
    <w:p>
      <w:pPr>
        <w:numPr>
          <w:ilvl w:val="0"/>
          <w:numId w:val="11"/>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在非一类重要核心期刊上发表论文：学生为独立作者的每篇加15分；导师为第一作者、学生本人为第二作者或学生本人为第一作者的，每篇加10分；</w:t>
      </w:r>
    </w:p>
    <w:p>
      <w:pPr>
        <w:numPr>
          <w:ilvl w:val="0"/>
          <w:numId w:val="11"/>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在普通刊物上发表论文：学生为独立作者每篇加5分；导师为第一作者、学生本人为第二作者或学生本人为第一作者的，每篇加3分；学生在其它刊物上发表论文加分的总分不得超过10分；</w:t>
      </w:r>
    </w:p>
    <w:p>
      <w:pPr>
        <w:numPr>
          <w:ilvl w:val="0"/>
          <w:numId w:val="11"/>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在一类重要期刊上发表译作：学生本人为第一译者，每篇加3分；非第一译者，每篇加1.5分。学生在普通刊物上发表译作：学生本人为第一译者，每篇加1分；非第一译者，每篇加0.5分。</w:t>
      </w:r>
    </w:p>
    <w:p>
      <w:pPr>
        <w:numPr>
          <w:ilvl w:val="0"/>
          <w:numId w:val="11"/>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8000字及以上学术综述、学术型书评按相应刊物级别论文标准进行加分。3000至8000字学术综述、学术型书评按相应刊物级别论文标准进行减半加分。重要期刊3000字以下综述类分值等同于普通刊物论文，普通期刊3000字以下综述类论文分值按普通刊物论文标准进行减半加分</w:t>
      </w:r>
    </w:p>
    <w:p>
      <w:pPr>
        <w:numPr>
          <w:ilvl w:val="0"/>
          <w:numId w:val="11"/>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所提交的论文必须是在奖学金评选年度期间正式发表的，且第一作者单位必须为中山大学中文系，不采纳文章录用通知；</w:t>
      </w:r>
    </w:p>
    <w:p>
      <w:pPr>
        <w:numPr>
          <w:ilvl w:val="0"/>
          <w:numId w:val="11"/>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在国外学术期刊上发表学术论文，参照《中山大学人文社会科学重要期刊目录原则（试行）》（2014年修订版），经专家核定后,按国内论文的相应标准计分；</w:t>
      </w:r>
    </w:p>
    <w:p>
      <w:pPr>
        <w:numPr>
          <w:ilvl w:val="0"/>
          <w:numId w:val="11"/>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每篇论文字数原则上不少于3000字，每篇公开发表论文只计算一次加分（以最高分计）。</w:t>
      </w:r>
    </w:p>
    <w:p>
      <w:pPr>
        <w:numPr>
          <w:ilvl w:val="0"/>
          <w:numId w:val="10"/>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作为主持人或课题组主要成员主持或参与课题研究</w:t>
      </w:r>
    </w:p>
    <w:p>
      <w:pPr>
        <w:numPr>
          <w:ilvl w:val="0"/>
          <w:numId w:val="12"/>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学生主持省部级（含省部级）以上课题，每项课题加25分；学生主持校级及以上课题，每项课题加12分；</w:t>
      </w:r>
    </w:p>
    <w:p>
      <w:pPr>
        <w:numPr>
          <w:ilvl w:val="0"/>
          <w:numId w:val="12"/>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学生作为主要成员（除主持人之外的前三位参加者，以项目申报书为准），参与省部级（含省部级）以上课题的，每项课题加10分；参与校级及以上课题的，每项课题加5分；</w:t>
      </w:r>
    </w:p>
    <w:p>
      <w:pPr>
        <w:numPr>
          <w:ilvl w:val="0"/>
          <w:numId w:val="12"/>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每一项课题只能参评一次。</w:t>
      </w:r>
    </w:p>
    <w:p>
      <w:pPr>
        <w:numPr>
          <w:ilvl w:val="0"/>
          <w:numId w:val="12"/>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课题的依托单位必须为中山大学。</w:t>
      </w:r>
    </w:p>
    <w:p>
      <w:pPr>
        <w:numPr>
          <w:ilvl w:val="0"/>
          <w:numId w:val="10"/>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出版与专业相关的学术专著</w:t>
      </w:r>
    </w:p>
    <w:p>
      <w:pPr>
        <w:numPr>
          <w:ilvl w:val="0"/>
          <w:numId w:val="13"/>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学生个人每出版一部独立学术著作，加20分；学生个人每出版一部独立学术译著，加12分。</w:t>
      </w:r>
      <w:r>
        <w:rPr>
          <w:rFonts w:hint="eastAsia" w:ascii="仿宋_GB2312" w:hAnsi="仿宋" w:eastAsia="仿宋_GB2312"/>
          <w:sz w:val="32"/>
          <w:szCs w:val="32"/>
        </w:rPr>
        <w:t>汇编类学术著作、文化普及类分值等同于译作分值</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B、参著或参译的专著或教材必须是公开出版发行的，参著或参译字数为一万字以上，按所撰写章节、篇幅在全书中所占比例加分；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C、著作必须是博士研究生期间正式出版的，不采纳录用稿通知，且第一作者单位必须为中山大学中文系或中文系相关科研机构。</w:t>
      </w:r>
    </w:p>
    <w:p>
      <w:pPr>
        <w:numPr>
          <w:ilvl w:val="0"/>
          <w:numId w:val="10"/>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参加学术会议并宣读论文</w:t>
      </w:r>
    </w:p>
    <w:p>
      <w:pPr>
        <w:numPr>
          <w:ilvl w:val="0"/>
          <w:numId w:val="14"/>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参加学术会议（校级以上，不含校级）并宣读论文，每次加5分；</w:t>
      </w:r>
    </w:p>
    <w:p>
      <w:pPr>
        <w:numPr>
          <w:ilvl w:val="0"/>
          <w:numId w:val="14"/>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参加学术会议并宣读论文加分的总分不得超过</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分。</w:t>
      </w:r>
    </w:p>
    <w:p>
      <w:pPr>
        <w:pStyle w:val="34"/>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（5）荣誉奖励加分</w:t>
      </w:r>
    </w:p>
    <w:tbl>
      <w:tblPr>
        <w:tblStyle w:val="13"/>
        <w:tblW w:w="8500"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36"/>
        <w:gridCol w:w="2046"/>
        <w:gridCol w:w="1854"/>
        <w:gridCol w:w="1700"/>
        <w:gridCol w:w="16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236" w:type="dxa"/>
            <w:tcBorders>
              <w:top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类别</w:t>
            </w:r>
          </w:p>
        </w:tc>
        <w:tc>
          <w:tcPr>
            <w:tcW w:w="204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级别</w:t>
            </w:r>
          </w:p>
        </w:tc>
        <w:tc>
          <w:tcPr>
            <w:tcW w:w="1854"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一等奖</w:t>
            </w:r>
          </w:p>
        </w:tc>
        <w:tc>
          <w:tcPr>
            <w:tcW w:w="1700"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二等奖</w:t>
            </w:r>
          </w:p>
        </w:tc>
        <w:tc>
          <w:tcPr>
            <w:tcW w:w="1664" w:type="dxa"/>
            <w:tcBorders>
              <w:top w:val="single" w:color="auto" w:sz="4" w:space="0"/>
              <w:left w:val="single" w:color="auto" w:sz="4" w:space="0"/>
              <w:bottom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三等奖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atLeast"/>
        </w:trPr>
        <w:tc>
          <w:tcPr>
            <w:tcW w:w="1236" w:type="dxa"/>
            <w:vMerge w:val="restart"/>
            <w:tcBorders>
              <w:top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学术类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荣誉</w:t>
            </w:r>
          </w:p>
        </w:tc>
        <w:tc>
          <w:tcPr>
            <w:tcW w:w="20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国家级</w:t>
            </w:r>
          </w:p>
        </w:tc>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20分</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15分</w:t>
            </w:r>
          </w:p>
        </w:tc>
        <w:tc>
          <w:tcPr>
            <w:tcW w:w="1664"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atLeast"/>
        </w:trPr>
        <w:tc>
          <w:tcPr>
            <w:tcW w:w="1236" w:type="dxa"/>
            <w:vMerge w:val="continue"/>
            <w:tcBorders>
              <w:right w:val="single" w:color="auto" w:sz="4" w:space="0"/>
            </w:tcBorders>
            <w:vAlign w:val="center"/>
          </w:tcPr>
          <w:p>
            <w:pPr>
              <w:rPr>
                <w:rFonts w:ascii="仿宋_GB2312" w:hAnsi="仿宋_GB2312" w:eastAsia="仿宋_GB2312" w:cs="仿宋_GB2312"/>
                <w:sz w:val="32"/>
                <w:szCs w:val="32"/>
              </w:rP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省级</w:t>
            </w:r>
          </w:p>
        </w:tc>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15分</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12分</w:t>
            </w:r>
          </w:p>
        </w:tc>
        <w:tc>
          <w:tcPr>
            <w:tcW w:w="1664"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atLeast"/>
        </w:trPr>
        <w:tc>
          <w:tcPr>
            <w:tcW w:w="1236" w:type="dxa"/>
            <w:vMerge w:val="continue"/>
            <w:tcBorders>
              <w:right w:val="single" w:color="auto" w:sz="4" w:space="0"/>
            </w:tcBorders>
            <w:vAlign w:val="center"/>
          </w:tcPr>
          <w:p>
            <w:pPr>
              <w:rPr>
                <w:rFonts w:ascii="仿宋_GB2312" w:hAnsi="仿宋_GB2312" w:eastAsia="仿宋_GB2312" w:cs="仿宋_GB2312"/>
                <w:sz w:val="32"/>
                <w:szCs w:val="32"/>
              </w:rP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校级</w:t>
            </w:r>
          </w:p>
        </w:tc>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12分</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1664"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atLeast"/>
        </w:trPr>
        <w:tc>
          <w:tcPr>
            <w:tcW w:w="1236" w:type="dxa"/>
            <w:vMerge w:val="continue"/>
            <w:tcBorders>
              <w:right w:val="single" w:color="auto" w:sz="4" w:space="0"/>
            </w:tcBorders>
            <w:vAlign w:val="center"/>
          </w:tcPr>
          <w:p>
            <w:pPr>
              <w:rPr>
                <w:rFonts w:ascii="仿宋_GB2312" w:hAnsi="仿宋_GB2312" w:eastAsia="仿宋_GB2312" w:cs="仿宋_GB2312"/>
                <w:sz w:val="32"/>
                <w:szCs w:val="32"/>
              </w:rP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系级</w:t>
            </w:r>
          </w:p>
        </w:tc>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8分</w:t>
            </w:r>
          </w:p>
        </w:tc>
        <w:tc>
          <w:tcPr>
            <w:tcW w:w="1664"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123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说  明</w:t>
            </w:r>
          </w:p>
        </w:tc>
        <w:tc>
          <w:tcPr>
            <w:tcW w:w="7264"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1、学术类竞赛指科研项目成果奖、优秀学术论文奖、“挑战杯”课外学术科技作品竞赛获奖等。</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2、同一成果获得多项奖励，只按所获最高奖项计分。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3、不分等级的奖项按二等奖计分。</w:t>
            </w:r>
          </w:p>
        </w:tc>
      </w:tr>
    </w:tbl>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2.学生活动加分</w:t>
      </w: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学生活动加分不超过100分且不超过学术活动加分。学生活动加分主要包括荣誉奖励加分、担任学生干部加分</w:t>
      </w:r>
      <w:r>
        <w:rPr>
          <w:rFonts w:hint="eastAsia" w:ascii="仿宋_GB2312" w:hAnsi="仿宋_GB2312" w:eastAsia="仿宋_GB2312" w:cs="仿宋_GB2312"/>
          <w:b/>
          <w:sz w:val="32"/>
          <w:szCs w:val="32"/>
        </w:rPr>
        <w:t>（需要出示所在组织的盖章证明，证明其任职满一年，且表现良好）。</w:t>
      </w:r>
    </w:p>
    <w:p>
      <w:pPr>
        <w:numPr>
          <w:ilvl w:val="0"/>
          <w:numId w:val="15"/>
        </w:numPr>
        <w:ind w:firstLine="544"/>
        <w:rPr>
          <w:rFonts w:ascii="仿宋_GB2312" w:hAnsi="仿宋_GB2312" w:eastAsia="仿宋_GB2312" w:cs="仿宋_GB2312"/>
          <w:sz w:val="32"/>
          <w:szCs w:val="32"/>
        </w:rPr>
      </w:pPr>
      <w:r>
        <w:rPr>
          <w:rFonts w:hint="eastAsia" w:ascii="仿宋_GB2312" w:hAnsi="仿宋_GB2312" w:eastAsia="仿宋_GB2312" w:cs="仿宋_GB2312"/>
          <w:sz w:val="32"/>
          <w:szCs w:val="32"/>
        </w:rPr>
        <w:t>荣誉奖励加分</w:t>
      </w:r>
    </w:p>
    <w:tbl>
      <w:tblPr>
        <w:tblStyle w:val="13"/>
        <w:tblW w:w="85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5"/>
        <w:gridCol w:w="2060"/>
        <w:gridCol w:w="1868"/>
        <w:gridCol w:w="1711"/>
        <w:gridCol w:w="16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245" w:type="dxa"/>
            <w:tcBorders>
              <w:top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类别</w:t>
            </w:r>
          </w:p>
        </w:tc>
        <w:tc>
          <w:tcPr>
            <w:tcW w:w="2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级别</w:t>
            </w:r>
          </w:p>
        </w:tc>
        <w:tc>
          <w:tcPr>
            <w:tcW w:w="18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一等奖</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二等奖</w:t>
            </w:r>
          </w:p>
        </w:tc>
        <w:tc>
          <w:tcPr>
            <w:tcW w:w="1676"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三等奖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1245" w:type="dxa"/>
            <w:vMerge w:val="restart"/>
            <w:tcBorders>
              <w:top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非学术类荣誉</w:t>
            </w:r>
          </w:p>
        </w:tc>
        <w:tc>
          <w:tcPr>
            <w:tcW w:w="2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国家级</w:t>
            </w:r>
          </w:p>
        </w:tc>
        <w:tc>
          <w:tcPr>
            <w:tcW w:w="18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15分</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12分</w:t>
            </w:r>
          </w:p>
        </w:tc>
        <w:tc>
          <w:tcPr>
            <w:tcW w:w="1676"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1245" w:type="dxa"/>
            <w:vMerge w:val="restart"/>
            <w:tcBorders>
              <w:right w:val="single" w:color="auto" w:sz="4" w:space="0"/>
            </w:tcBorders>
            <w:vAlign w:val="center"/>
          </w:tcPr>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c>
        <w:tc>
          <w:tcPr>
            <w:tcW w:w="2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省级</w:t>
            </w:r>
          </w:p>
        </w:tc>
        <w:tc>
          <w:tcPr>
            <w:tcW w:w="18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12分</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1676"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1245" w:type="dxa"/>
            <w:vMerge w:val="continue"/>
            <w:tcBorders>
              <w:right w:val="single" w:color="auto" w:sz="4" w:space="0"/>
            </w:tcBorders>
            <w:vAlign w:val="center"/>
          </w:tcPr>
          <w:p>
            <w:pPr>
              <w:rPr>
                <w:rFonts w:ascii="仿宋_GB2312" w:hAnsi="仿宋_GB2312" w:eastAsia="仿宋_GB2312" w:cs="仿宋_GB2312"/>
                <w:sz w:val="32"/>
                <w:szCs w:val="32"/>
              </w:rPr>
            </w:pPr>
          </w:p>
        </w:tc>
        <w:tc>
          <w:tcPr>
            <w:tcW w:w="2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校级</w:t>
            </w:r>
          </w:p>
        </w:tc>
        <w:tc>
          <w:tcPr>
            <w:tcW w:w="18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8分</w:t>
            </w:r>
          </w:p>
        </w:tc>
        <w:tc>
          <w:tcPr>
            <w:tcW w:w="1676"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1245" w:type="dxa"/>
            <w:vMerge w:val="continue"/>
            <w:tcBorders>
              <w:right w:val="single" w:color="auto" w:sz="4" w:space="0"/>
            </w:tcBorders>
            <w:vAlign w:val="center"/>
          </w:tcPr>
          <w:p>
            <w:pPr>
              <w:rPr>
                <w:rFonts w:ascii="仿宋_GB2312" w:hAnsi="仿宋_GB2312" w:eastAsia="仿宋_GB2312" w:cs="仿宋_GB2312"/>
                <w:sz w:val="32"/>
                <w:szCs w:val="32"/>
              </w:rPr>
            </w:pPr>
          </w:p>
        </w:tc>
        <w:tc>
          <w:tcPr>
            <w:tcW w:w="2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系级</w:t>
            </w:r>
          </w:p>
        </w:tc>
        <w:tc>
          <w:tcPr>
            <w:tcW w:w="18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8分</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6分</w:t>
            </w:r>
          </w:p>
        </w:tc>
        <w:tc>
          <w:tcPr>
            <w:tcW w:w="1676" w:type="dxa"/>
            <w:tcBorders>
              <w:top w:val="single" w:color="auto" w:sz="4" w:space="0"/>
              <w:left w:val="single" w:color="auto" w:sz="4" w:space="0"/>
              <w:bottom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124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说  明</w:t>
            </w:r>
          </w:p>
        </w:tc>
        <w:tc>
          <w:tcPr>
            <w:tcW w:w="7315"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1、非学术类荣誉指各类综合比赛获奖、获各级先进团体或个人、优秀学生干部等。</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2、同一作品获得多项奖励，只按所获最高奖项计分。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3、不分等级的奖项按二等奖计分。</w:t>
            </w: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先进集体和个人奖励、表彰等加分</w:t>
      </w:r>
    </w:p>
    <w:tbl>
      <w:tblPr>
        <w:tblStyle w:val="14"/>
        <w:tblW w:w="83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91"/>
        <w:gridCol w:w="1334"/>
        <w:gridCol w:w="1303"/>
        <w:gridCol w:w="1117"/>
        <w:gridCol w:w="14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jc w:val="center"/>
        </w:trPr>
        <w:tc>
          <w:tcPr>
            <w:tcW w:w="319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表彰级别</w:t>
            </w:r>
          </w:p>
        </w:tc>
        <w:tc>
          <w:tcPr>
            <w:tcW w:w="133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国家级</w:t>
            </w:r>
          </w:p>
        </w:tc>
        <w:tc>
          <w:tcPr>
            <w:tcW w:w="130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省级</w:t>
            </w:r>
          </w:p>
        </w:tc>
        <w:tc>
          <w:tcPr>
            <w:tcW w:w="111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市级</w:t>
            </w:r>
          </w:p>
        </w:tc>
        <w:tc>
          <w:tcPr>
            <w:tcW w:w="141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校级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jc w:val="center"/>
        </w:trPr>
        <w:tc>
          <w:tcPr>
            <w:tcW w:w="319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先进个人</w:t>
            </w:r>
          </w:p>
        </w:tc>
        <w:tc>
          <w:tcPr>
            <w:tcW w:w="133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30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11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1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jc w:val="center"/>
        </w:trPr>
        <w:tc>
          <w:tcPr>
            <w:tcW w:w="319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先进集体主要负责人</w:t>
            </w:r>
          </w:p>
        </w:tc>
        <w:tc>
          <w:tcPr>
            <w:tcW w:w="133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30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11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1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jc w:val="center"/>
        </w:trPr>
        <w:tc>
          <w:tcPr>
            <w:tcW w:w="319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先进集体一般负责人</w:t>
            </w:r>
          </w:p>
        </w:tc>
        <w:tc>
          <w:tcPr>
            <w:tcW w:w="133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30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11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0.5</w:t>
            </w:r>
          </w:p>
        </w:tc>
        <w:tc>
          <w:tcPr>
            <w:tcW w:w="141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1" w:hRule="atLeast"/>
          <w:jc w:val="center"/>
        </w:trPr>
        <w:tc>
          <w:tcPr>
            <w:tcW w:w="319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先进集体一般成员</w:t>
            </w:r>
          </w:p>
        </w:tc>
        <w:tc>
          <w:tcPr>
            <w:tcW w:w="1334"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30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0.5</w:t>
            </w:r>
          </w:p>
        </w:tc>
        <w:tc>
          <w:tcPr>
            <w:tcW w:w="111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0.3</w:t>
            </w:r>
          </w:p>
        </w:tc>
        <w:tc>
          <w:tcPr>
            <w:tcW w:w="141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0.2</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（2）担任学生干部加分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A、校学生干部</w:t>
      </w:r>
    </w:p>
    <w:tbl>
      <w:tblPr>
        <w:tblStyle w:val="1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1"/>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58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担任职务</w:t>
            </w:r>
          </w:p>
        </w:tc>
        <w:tc>
          <w:tcPr>
            <w:tcW w:w="1339"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58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校研究生会主席</w:t>
            </w:r>
          </w:p>
        </w:tc>
        <w:tc>
          <w:tcPr>
            <w:tcW w:w="1339"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58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校区研究生会主席、校研究生会副主席</w:t>
            </w:r>
          </w:p>
        </w:tc>
        <w:tc>
          <w:tcPr>
            <w:tcW w:w="1339"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58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校研究生会常委、部长，校团委委员、部长</w:t>
            </w:r>
          </w:p>
        </w:tc>
        <w:tc>
          <w:tcPr>
            <w:tcW w:w="1339"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58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校研究生会副部长、校团委副部长、校区团工委部长</w:t>
            </w:r>
          </w:p>
        </w:tc>
        <w:tc>
          <w:tcPr>
            <w:tcW w:w="1339"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58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校区研究生会干事、校区团工委干事</w:t>
            </w:r>
          </w:p>
        </w:tc>
        <w:tc>
          <w:tcPr>
            <w:tcW w:w="1339"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581"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其它</w:t>
            </w:r>
          </w:p>
        </w:tc>
        <w:tc>
          <w:tcPr>
            <w:tcW w:w="1339"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0.5</w:t>
            </w:r>
          </w:p>
        </w:tc>
      </w:tr>
    </w:tbl>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B、系学生干部、各社团</w:t>
      </w:r>
    </w:p>
    <w:tbl>
      <w:tblPr>
        <w:tblStyle w:val="13"/>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54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担任职务</w:t>
            </w:r>
          </w:p>
        </w:tc>
        <w:tc>
          <w:tcPr>
            <w:tcW w:w="136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54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系团委副书记、系研究生会主席</w:t>
            </w:r>
          </w:p>
        </w:tc>
        <w:tc>
          <w:tcPr>
            <w:tcW w:w="1360"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54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系研究生会副主席、系研究生会秘书长、系团委委员</w:t>
            </w:r>
          </w:p>
        </w:tc>
        <w:tc>
          <w:tcPr>
            <w:tcW w:w="1360"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754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系研究生会部长、系研究生会副秘书长；各年级团支书、党支书；经学校批准成立的社团第一负责人；校级刊物主编</w:t>
            </w:r>
          </w:p>
        </w:tc>
        <w:tc>
          <w:tcPr>
            <w:tcW w:w="1360"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754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系研究生会副部长；经学校批准成立的社团副职负责人、各部部长；校级刊物副主编</w:t>
            </w:r>
          </w:p>
        </w:tc>
        <w:tc>
          <w:tcPr>
            <w:tcW w:w="1360"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54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其它</w:t>
            </w:r>
          </w:p>
        </w:tc>
        <w:tc>
          <w:tcPr>
            <w:tcW w:w="1360"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0.5</w:t>
            </w:r>
          </w:p>
        </w:tc>
      </w:tr>
    </w:tbl>
    <w:p>
      <w:pPr>
        <w:ind w:firstLine="552"/>
        <w:rPr>
          <w:rFonts w:ascii="仿宋_GB2312" w:hAnsi="仿宋_GB2312" w:eastAsia="仿宋_GB2312" w:cs="仿宋_GB2312"/>
          <w:sz w:val="32"/>
          <w:szCs w:val="32"/>
        </w:rPr>
      </w:pPr>
      <w:r>
        <w:rPr>
          <w:rFonts w:hint="eastAsia" w:ascii="仿宋_GB2312" w:hAnsi="仿宋_GB2312" w:eastAsia="仿宋_GB2312" w:cs="仿宋_GB2312"/>
          <w:sz w:val="32"/>
          <w:szCs w:val="32"/>
        </w:rPr>
        <w:t>C、说明：学生干部必须任期满一年，且工作认真，组织考察鉴定合格。表现差者或完全没有履责者，可不加分或酌情减分；同一学生在担任不同组织的学生干部，且达到以上基本加分资格，可累加，该项加分总分不得超过10分。</w:t>
      </w:r>
    </w:p>
    <w:p>
      <w:pPr>
        <w:ind w:firstLine="552"/>
        <w:rPr>
          <w:rFonts w:ascii="仿宋_GB2312" w:hAnsi="仿宋_GB2312" w:eastAsia="仿宋_GB2312" w:cs="仿宋_GB2312"/>
          <w:sz w:val="32"/>
          <w:szCs w:val="32"/>
        </w:rPr>
      </w:pPr>
    </w:p>
    <w:p>
      <w:pPr>
        <w:numPr>
          <w:ilvl w:val="0"/>
          <w:numId w:val="1"/>
        </w:numPr>
        <w:ind w:firstLine="544"/>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附则</w:t>
      </w:r>
    </w:p>
    <w:p>
      <w:pPr>
        <w:widowControl/>
        <w:tabs>
          <w:tab w:val="left" w:pos="960"/>
        </w:tabs>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一、本方案解释权和修改权属于中山大学中文系。</w:t>
      </w:r>
    </w:p>
    <w:p>
      <w:pPr>
        <w:widowControl/>
        <w:tabs>
          <w:tab w:val="left" w:pos="960"/>
        </w:tabs>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二、中山大学中文系其他研究生</w:t>
      </w:r>
      <w:r>
        <w:rPr>
          <w:rFonts w:hint="eastAsia" w:ascii="仿宋_GB2312" w:hAnsi="仿宋_GB2312" w:eastAsia="仿宋_GB2312" w:cs="仿宋_GB2312"/>
          <w:sz w:val="32"/>
          <w:szCs w:val="32"/>
        </w:rPr>
        <w:t>奖助学金评定参照本办法执行；</w:t>
      </w:r>
    </w:p>
    <w:p>
      <w:pPr>
        <w:widowControl/>
        <w:tabs>
          <w:tab w:val="left" w:pos="960"/>
        </w:tabs>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三、其他未尽事宜请参照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中山大学研究生奖助规定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中大研院〔2018〕269号</w:t>
      </w:r>
      <w:r>
        <w:rPr>
          <w:rFonts w:hint="eastAsia" w:ascii="仿宋_GB2312" w:hAnsi="仿宋_GB2312" w:eastAsia="仿宋_GB2312" w:cs="仿宋_GB2312"/>
          <w:sz w:val="32"/>
          <w:szCs w:val="32"/>
        </w:rPr>
        <w:t>）《中山大学博士研究生“优生优培”资助计划实施办法》（</w:t>
      </w:r>
      <w:r>
        <w:rPr>
          <w:rFonts w:ascii="仿宋_GB2312" w:hAnsi="仿宋_GB2312" w:eastAsia="仿宋_GB2312" w:cs="仿宋_GB2312"/>
          <w:sz w:val="32"/>
          <w:szCs w:val="32"/>
        </w:rPr>
        <w:t>中大研院〔201</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93</w:t>
      </w:r>
      <w:r>
        <w:rPr>
          <w:rFonts w:ascii="仿宋_GB2312" w:hAnsi="仿宋_GB2312" w:eastAsia="仿宋_GB2312" w:cs="仿宋_GB2312"/>
          <w:sz w:val="32"/>
          <w:szCs w:val="32"/>
        </w:rPr>
        <w:t>号</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中山大学研究生奖助规定实施细则》</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中大研院〔2019〕94号</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，或者由系研究生奖助金评选工作领导小组研究决定。</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w:t>
      </w:r>
      <w:r>
        <w:rPr>
          <w:rFonts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rPr>
        <w:t>办法</w:t>
      </w:r>
      <w:r>
        <w:rPr>
          <w:rFonts w:ascii="仿宋_GB2312" w:hAnsi="仿宋_GB2312" w:eastAsia="仿宋_GB2312" w:cs="仿宋_GB2312"/>
          <w:kern w:val="0"/>
          <w:sz w:val="32"/>
          <w:szCs w:val="32"/>
        </w:rPr>
        <w:t>经</w:t>
      </w:r>
      <w:r>
        <w:rPr>
          <w:rFonts w:hint="eastAsia" w:ascii="仿宋_GB2312" w:hAnsi="仿宋_GB2312" w:eastAsia="仿宋_GB2312" w:cs="仿宋_GB2312"/>
          <w:kern w:val="0"/>
          <w:sz w:val="32"/>
          <w:szCs w:val="32"/>
        </w:rPr>
        <w:t>中文系党政联席</w:t>
      </w:r>
      <w:bookmarkStart w:id="0" w:name="_GoBack"/>
      <w:bookmarkEnd w:id="0"/>
      <w:r>
        <w:rPr>
          <w:rFonts w:ascii="仿宋_GB2312" w:hAnsi="仿宋_GB2312" w:eastAsia="仿宋_GB2312" w:cs="仿宋_GB2312"/>
          <w:kern w:val="0"/>
          <w:sz w:val="32"/>
          <w:szCs w:val="32"/>
        </w:rPr>
        <w:t>会议审议通过，自发布之日起施行。原《中山大学</w:t>
      </w:r>
      <w:r>
        <w:rPr>
          <w:rFonts w:hint="eastAsia" w:ascii="仿宋_GB2312" w:hAnsi="仿宋_GB2312" w:eastAsia="仿宋_GB2312" w:cs="仿宋_GB2312"/>
          <w:kern w:val="0"/>
          <w:sz w:val="32"/>
          <w:szCs w:val="32"/>
        </w:rPr>
        <w:t>中文系研究生奖助金评选办法（试行）</w:t>
      </w:r>
      <w:r>
        <w:rPr>
          <w:rFonts w:ascii="仿宋_GB2312" w:hAnsi="仿宋_GB2312" w:eastAsia="仿宋_GB2312" w:cs="仿宋_GB2312"/>
          <w:kern w:val="0"/>
          <w:sz w:val="32"/>
          <w:szCs w:val="32"/>
        </w:rPr>
        <w:t>》（中</w:t>
      </w:r>
      <w:r>
        <w:rPr>
          <w:rFonts w:hint="eastAsia" w:ascii="仿宋_GB2312" w:hAnsi="仿宋_GB2312" w:eastAsia="仿宋_GB2312" w:cs="仿宋_GB2312"/>
          <w:kern w:val="0"/>
          <w:sz w:val="32"/>
          <w:szCs w:val="32"/>
        </w:rPr>
        <w:t>文</w:t>
      </w:r>
      <w:r>
        <w:rPr>
          <w:rFonts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rPr>
        <w:t>7</w:t>
      </w:r>
      <w:r>
        <w:rPr>
          <w:rFonts w:ascii="仿宋_GB2312" w:hAnsi="仿宋_GB2312" w:eastAsia="仿宋_GB2312" w:cs="仿宋_GB2312"/>
          <w:kern w:val="0"/>
          <w:sz w:val="32"/>
          <w:szCs w:val="32"/>
        </w:rPr>
        <w:t>〕34号）同时废止。</w:t>
      </w:r>
    </w:p>
    <w:p>
      <w:pPr>
        <w:ind w:firstLine="640" w:firstLineChars="200"/>
        <w:rPr>
          <w:rFonts w:ascii="宋体" w:hAnsi="宋体"/>
          <w:sz w:val="32"/>
          <w:szCs w:val="32"/>
        </w:rPr>
      </w:pPr>
    </w:p>
    <w:p>
      <w:pPr>
        <w:widowControl/>
        <w:jc w:val="left"/>
        <w:rPr>
          <w:rFonts w:ascii="仿宋" w:hAnsi="仿宋" w:eastAsia="仿宋_GB2312"/>
          <w:sz w:val="32"/>
          <w:szCs w:val="32"/>
        </w:rPr>
      </w:pPr>
      <w:r>
        <w:rPr>
          <w:rFonts w:hint="eastAsia" w:ascii="宋体" w:hAnsi="宋体"/>
          <w:sz w:val="32"/>
          <w:szCs w:val="32"/>
        </w:rPr>
        <w:t xml:space="preserve">  </w:t>
      </w:r>
    </w:p>
    <w:p>
      <w:pPr>
        <w:widowControl/>
        <w:jc w:val="left"/>
        <w:rPr>
          <w:rFonts w:ascii="仿宋" w:hAnsi="仿宋" w:eastAsia="仿宋_GB2312"/>
          <w:sz w:val="32"/>
          <w:szCs w:val="32"/>
        </w:rPr>
      </w:pPr>
    </w:p>
    <w:p>
      <w:pPr>
        <w:tabs>
          <w:tab w:val="left" w:pos="7920"/>
        </w:tabs>
        <w:adjustRightInd w:val="0"/>
        <w:snapToGrid w:val="0"/>
        <w:spacing w:line="560" w:lineRule="atLeast"/>
        <w:ind w:right="2350" w:rightChars="1119"/>
        <w:jc w:val="right"/>
        <w:rPr>
          <w:rFonts w:ascii="仿宋" w:hAnsi="仿宋" w:eastAsia="仿宋_GB2312"/>
          <w:color w:val="000000"/>
          <w:spacing w:val="-6"/>
          <w:sz w:val="18"/>
          <w:szCs w:val="18"/>
        </w:rPr>
      </w:pPr>
      <w:r>
        <w:rPr>
          <w:rFonts w:hint="eastAsia" w:ascii="仿宋" w:hAnsi="仿宋" w:eastAsia="仿宋_GB2312"/>
          <w:color w:val="000000"/>
          <w:spacing w:val="20"/>
          <w:sz w:val="32"/>
        </w:rPr>
        <w:t xml:space="preserve">  中国语言文学系</w:t>
      </w:r>
    </w:p>
    <w:p>
      <w:pPr>
        <w:adjustRightInd w:val="0"/>
        <w:snapToGrid w:val="0"/>
        <w:spacing w:line="560" w:lineRule="atLeast"/>
        <w:ind w:right="1150" w:firstLine="720"/>
        <w:jc w:val="center"/>
        <w:rPr>
          <w:rFonts w:ascii="仿宋" w:hAnsi="仿宋" w:eastAsia="仿宋_GB2312"/>
          <w:color w:val="000000"/>
          <w:sz w:val="18"/>
        </w:rPr>
      </w:pPr>
      <w:r>
        <w:rPr>
          <w:rFonts w:hint="eastAsia" w:ascii="仿宋" w:hAnsi="仿宋" w:eastAsia="仿宋_GB2312"/>
          <w:color w:val="000000"/>
          <w:spacing w:val="20"/>
          <w:sz w:val="32"/>
        </w:rPr>
        <w:t xml:space="preserve">           20</w:t>
      </w:r>
      <w:r>
        <w:rPr>
          <w:rFonts w:hint="eastAsia" w:ascii="仿宋" w:hAnsi="仿宋" w:eastAsia="仿宋_GB2312"/>
          <w:color w:val="000000"/>
          <w:sz w:val="32"/>
        </w:rPr>
        <w:t>20</w:t>
      </w:r>
      <w:r>
        <w:rPr>
          <w:rFonts w:hint="eastAsia" w:ascii="仿宋" w:hAnsi="仿宋" w:eastAsia="仿宋_GB2312"/>
          <w:color w:val="000000"/>
          <w:spacing w:val="20"/>
          <w:sz w:val="32"/>
        </w:rPr>
        <w:t>年</w:t>
      </w:r>
      <w:r>
        <w:rPr>
          <w:rFonts w:ascii="仿宋" w:hAnsi="仿宋" w:eastAsia="仿宋_GB2312"/>
          <w:color w:val="000000"/>
          <w:spacing w:val="20"/>
          <w:sz w:val="32"/>
        </w:rPr>
        <w:t>9</w:t>
      </w:r>
      <w:r>
        <w:rPr>
          <w:rFonts w:hint="eastAsia" w:ascii="仿宋" w:hAnsi="仿宋" w:eastAsia="仿宋_GB2312"/>
          <w:color w:val="000000"/>
          <w:spacing w:val="20"/>
          <w:sz w:val="32"/>
        </w:rPr>
        <w:t>月</w:t>
      </w:r>
      <w:r>
        <w:rPr>
          <w:rFonts w:ascii="仿宋" w:hAnsi="仿宋" w:eastAsia="仿宋_GB2312"/>
          <w:color w:val="000000"/>
          <w:spacing w:val="20"/>
          <w:sz w:val="32"/>
        </w:rPr>
        <w:t>2</w:t>
      </w:r>
      <w:r>
        <w:rPr>
          <w:rFonts w:hint="eastAsia" w:ascii="仿宋" w:hAnsi="仿宋" w:eastAsia="仿宋_GB2312"/>
          <w:color w:val="000000"/>
          <w:spacing w:val="20"/>
          <w:sz w:val="32"/>
        </w:rPr>
        <w:t>日</w:t>
      </w:r>
    </w:p>
    <w:p>
      <w:pPr>
        <w:adjustRightInd w:val="0"/>
        <w:snapToGrid w:val="0"/>
        <w:spacing w:line="560" w:lineRule="atLeast"/>
        <w:ind w:firstLine="640"/>
        <w:rPr>
          <w:rFonts w:ascii="仿宋" w:hAnsi="仿宋" w:eastAsia="仿宋_GB2312"/>
          <w:sz w:val="32"/>
        </w:rPr>
      </w:pPr>
    </w:p>
    <w:p>
      <w:pPr>
        <w:adjustRightInd w:val="0"/>
        <w:snapToGrid w:val="0"/>
        <w:spacing w:line="560" w:lineRule="atLeast"/>
        <w:ind w:firstLine="640"/>
        <w:rPr>
          <w:szCs w:val="21"/>
        </w:rPr>
      </w:pPr>
      <w:r>
        <w:rPr>
          <w:szCs w:val="21"/>
        </w:rPr>
        <mc:AlternateContent>
          <mc:Choice Requires="wps">
            <w:drawing>
              <wp:anchor distT="45720" distB="45720" distL="114300" distR="114300" simplePos="0" relativeHeight="251662336" behindDoc="0" locked="0" layoutInCell="1" allowOverlap="1">
                <wp:simplePos x="0" y="0"/>
                <wp:positionH relativeFrom="column">
                  <wp:align>center</wp:align>
                </wp:positionH>
                <wp:positionV relativeFrom="page">
                  <wp:posOffset>9001125</wp:posOffset>
                </wp:positionV>
                <wp:extent cx="6127115" cy="54737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7200" cy="547370"/>
                        </a:xfrm>
                        <a:prstGeom prst="rect">
                          <a:avLst/>
                        </a:prstGeom>
                        <a:noFill/>
                        <a:ln w="9525">
                          <a:noFill/>
                          <a:miter lim="800000"/>
                        </a:ln>
                      </wps:spPr>
                      <wps:txbx>
                        <w:txbxContent>
                          <w:p>
                            <w:pPr>
                              <w:pBdr>
                                <w:top w:val="single" w:color="auto" w:sz="4" w:space="1"/>
                                <w:bottom w:val="single" w:color="auto" w:sz="4" w:space="1"/>
                                <w:between w:val="single" w:color="auto" w:sz="6" w:space="1"/>
                              </w:pBdr>
                              <w:jc w:val="center"/>
                            </w:pPr>
                            <w:r>
                              <w:rPr>
                                <w:rFonts w:hint="eastAsia" w:ascii="仿宋" w:hAnsi="仿宋" w:eastAsia="仿宋_GB2312"/>
                                <w:sz w:val="28"/>
                                <w:szCs w:val="28"/>
                              </w:rPr>
                              <w:t>中山大学中国</w:t>
                            </w:r>
                            <w:r>
                              <w:rPr>
                                <w:rFonts w:ascii="仿宋" w:hAnsi="仿宋" w:eastAsia="仿宋_GB2312"/>
                                <w:sz w:val="28"/>
                                <w:szCs w:val="28"/>
                              </w:rPr>
                              <w:t>语言文学系</w:t>
                            </w:r>
                            <w:r>
                              <w:rPr>
                                <w:rFonts w:hint="eastAsia" w:ascii="仿宋" w:hAnsi="仿宋" w:eastAsia="仿宋_GB2312"/>
                                <w:sz w:val="28"/>
                                <w:szCs w:val="28"/>
                              </w:rPr>
                              <w:t>系</w:t>
                            </w:r>
                            <w:r>
                              <w:rPr>
                                <w:rFonts w:ascii="仿宋" w:hAnsi="仿宋" w:eastAsia="仿宋_GB2312"/>
                                <w:sz w:val="28"/>
                                <w:szCs w:val="28"/>
                              </w:rPr>
                              <w:t>　　　　　　　</w:t>
                            </w:r>
                            <w:r>
                              <w:rPr>
                                <w:rFonts w:hint="eastAsia" w:ascii="仿宋" w:hAnsi="仿宋" w:eastAsia="仿宋_GB2312"/>
                                <w:sz w:val="28"/>
                                <w:szCs w:val="28"/>
                              </w:rPr>
                              <w:t>2020年</w:t>
                            </w:r>
                            <w:r>
                              <w:rPr>
                                <w:rFonts w:ascii="仿宋" w:hAnsi="仿宋" w:eastAsia="仿宋_GB2312"/>
                                <w:sz w:val="28"/>
                                <w:szCs w:val="28"/>
                              </w:rPr>
                              <w:t>9</w:t>
                            </w:r>
                            <w:r>
                              <w:rPr>
                                <w:rFonts w:hint="eastAsia" w:ascii="仿宋" w:hAnsi="仿宋" w:eastAsia="仿宋_GB2312"/>
                                <w:sz w:val="28"/>
                                <w:szCs w:val="28"/>
                              </w:rPr>
                              <w:t>月</w:t>
                            </w:r>
                            <w:r>
                              <w:rPr>
                                <w:rFonts w:ascii="仿宋" w:hAnsi="仿宋" w:eastAsia="仿宋_GB2312"/>
                                <w:sz w:val="28"/>
                                <w:szCs w:val="28"/>
                              </w:rPr>
                              <w:t>2</w:t>
                            </w:r>
                            <w:r>
                              <w:rPr>
                                <w:rFonts w:hint="eastAsia" w:ascii="仿宋" w:hAnsi="仿宋" w:eastAsia="仿宋_GB2312"/>
                                <w:sz w:val="28"/>
                                <w:szCs w:val="28"/>
                              </w:rPr>
                              <w:t>日印发</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708.75pt;height:43.1pt;width:482.45pt;mso-position-horizontal:center;mso-position-vertical-relative:page;z-index:251662336;mso-width-relative:page;mso-height-relative:margin;mso-height-percent:200;" filled="f" stroked="f" coordsize="21600,21600" o:gfxdata="UEsDBAoAAAAAAIdO4kAAAAAAAAAAAAAAAAAEAAAAZHJzL1BLAwQUAAAACACHTuJAKUbcxtgAAAAK&#10;AQAADwAAAGRycy9kb3ducmV2LnhtbE2PwU7DMBBE70j8g7VI3Kid0jZtiFMh1JZjoUQ9u7FJIuK1&#10;Zbtp+XuWExx3ZjT7plxf7cBGE2LvUEI2EcAMNk732EqoP7YPS2AxKdRqcGgkfJsI6+r2plSFdhd8&#10;N+MhtYxKMBZKQpeSLziPTWesihPnDZL36YJVic7Qch3UhcrtwKdCLLhVPdKHTnnz0pnm63C2Enzy&#10;u/w17N+eN9tR1MddPe3bjZT3d5l4ApbMNf2F4Ref0KEippM7o45skEBDEqmzLJ8DI3+1mK2AnUia&#10;i8cceFXy/xOqH1BLAwQUAAAACACHTuJAy0twtScCAAArBAAADgAAAGRycy9lMm9Eb2MueG1srVPN&#10;jtMwEL4j8Q6W7zRNabe7UdPVslUR0vIjLTyA6ziNhe0xttukPAC8AScu3HmuPgdjJ1uq5bIHcohs&#10;j+eb+b75vLjutCJ74bwEU9J8NKZEGA6VNNuSfvq4fnFJiQ/MVEyBESU9CE+vl8+fLVpbiAk0oCrh&#10;CIIYX7S2pE0ItsgyzxuhmR+BFQaDNTjNAm7dNqscaxFdq2wyHl9kLbjKOuDCezxd9UE6ILqnAEJd&#10;Sy5WwHdamNCjOqFYQEq+kdbTZeq2rgUP7+vai0BUSZFpSH8sgutN/GfLBSu2jtlG8qEF9pQWHnHS&#10;TBoseoJascDIzsl/oLTkDjzUYcRBZz2RpAiyyMePtLlvmBWJC0rt7Ul0//9g+bv9B0dkVdJJPqfE&#10;MI0jP/74fvz5+/jrG5lEgVrrC7x3b/Fm6F5Bh7ZJZL29A/7ZEwO3DTNbceMctI1gFTaYx8zsLLXH&#10;8RFk076FCuuwXYAE1NVOR/VQD4LoOJzDaTiiC4Tj4UU+maN/KOEYm03nL+dpehkrHrKt8+G1AE3i&#10;oqQOh5/Q2f7Oh9gNKx6uxGIG1lKpZABlSFvSq9lklhLOIloGdLuSuqSX4/glWqxQZmAXCfXUQrfp&#10;BrU2UB2Qp4Peb/jacNGA+0pJi14rqf+yY05Qot4Y1Ooqn06jOdNmOkOalLjzyOY8wgxHqJIGSvrl&#10;bUiGjpy8vUFN1zLRjeL3nQy9ooeSCoPfo0nP9+nW3ze+/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pRtzG2AAAAAoBAAAPAAAAAAAAAAEAIAAAACIAAABkcnMvZG93bnJldi54bWxQSwECFAAUAAAA&#10;CACHTuJAy0twtScCAAArBAAADgAAAAAAAAABACAAAAAnAQAAZHJzL2Uyb0RvYy54bWxQSwUGAAAA&#10;AAYABgBZAQAAwAUAAAAA&#10;">
                <v:fill on="f" focussize="0,0"/>
                <v:stroke on="f" miterlimit="8" joinstyle="miter"/>
                <v:imagedata o:title=""/>
                <o:lock v:ext="edit" aspectratio="f"/>
                <v:textbox style="mso-fit-shape-to-text:t;">
                  <w:txbxContent>
                    <w:p>
                      <w:pPr>
                        <w:pBdr>
                          <w:top w:val="single" w:color="auto" w:sz="4" w:space="1"/>
                          <w:bottom w:val="single" w:color="auto" w:sz="4" w:space="1"/>
                          <w:between w:val="single" w:color="auto" w:sz="6" w:space="1"/>
                        </w:pBdr>
                        <w:jc w:val="center"/>
                      </w:pPr>
                      <w:r>
                        <w:rPr>
                          <w:rFonts w:hint="eastAsia" w:ascii="仿宋" w:hAnsi="仿宋" w:eastAsia="仿宋_GB2312"/>
                          <w:sz w:val="28"/>
                          <w:szCs w:val="28"/>
                        </w:rPr>
                        <w:t>中山大学中国</w:t>
                      </w:r>
                      <w:r>
                        <w:rPr>
                          <w:rFonts w:ascii="仿宋" w:hAnsi="仿宋" w:eastAsia="仿宋_GB2312"/>
                          <w:sz w:val="28"/>
                          <w:szCs w:val="28"/>
                        </w:rPr>
                        <w:t>语言文学系</w:t>
                      </w:r>
                      <w:r>
                        <w:rPr>
                          <w:rFonts w:hint="eastAsia" w:ascii="仿宋" w:hAnsi="仿宋" w:eastAsia="仿宋_GB2312"/>
                          <w:sz w:val="28"/>
                          <w:szCs w:val="28"/>
                        </w:rPr>
                        <w:t>系</w:t>
                      </w:r>
                      <w:r>
                        <w:rPr>
                          <w:rFonts w:ascii="仿宋" w:hAnsi="仿宋" w:eastAsia="仿宋_GB2312"/>
                          <w:sz w:val="28"/>
                          <w:szCs w:val="28"/>
                        </w:rPr>
                        <w:t>　　　　　　　</w:t>
                      </w:r>
                      <w:r>
                        <w:rPr>
                          <w:rFonts w:hint="eastAsia" w:ascii="仿宋" w:hAnsi="仿宋" w:eastAsia="仿宋_GB2312"/>
                          <w:sz w:val="28"/>
                          <w:szCs w:val="28"/>
                        </w:rPr>
                        <w:t>2020年</w:t>
                      </w:r>
                      <w:r>
                        <w:rPr>
                          <w:rFonts w:ascii="仿宋" w:hAnsi="仿宋" w:eastAsia="仿宋_GB2312"/>
                          <w:sz w:val="28"/>
                          <w:szCs w:val="28"/>
                        </w:rPr>
                        <w:t>9</w:t>
                      </w:r>
                      <w:r>
                        <w:rPr>
                          <w:rFonts w:hint="eastAsia" w:ascii="仿宋" w:hAnsi="仿宋" w:eastAsia="仿宋_GB2312"/>
                          <w:sz w:val="28"/>
                          <w:szCs w:val="28"/>
                        </w:rPr>
                        <w:t>月</w:t>
                      </w:r>
                      <w:r>
                        <w:rPr>
                          <w:rFonts w:ascii="仿宋" w:hAnsi="仿宋" w:eastAsia="仿宋_GB2312"/>
                          <w:sz w:val="28"/>
                          <w:szCs w:val="28"/>
                        </w:rPr>
                        <w:t>2</w:t>
                      </w:r>
                      <w:r>
                        <w:rPr>
                          <w:rFonts w:hint="eastAsia" w:ascii="仿宋" w:hAnsi="仿宋" w:eastAsia="仿宋_GB2312"/>
                          <w:sz w:val="28"/>
                          <w:szCs w:val="28"/>
                        </w:rPr>
                        <w:t>日印发</w:t>
                      </w:r>
                    </w:p>
                  </w:txbxContent>
                </v:textbox>
              </v:shape>
            </w:pict>
          </mc:Fallback>
        </mc:AlternateContent>
      </w:r>
    </w:p>
    <w:sectPr>
      <w:footerReference r:id="rId3" w:type="default"/>
      <w:footerReference r:id="rId4" w:type="even"/>
      <w:footnotePr>
        <w:numFmt w:val="decimalEnclosedCircleChinese"/>
        <w:numRestart w:val="eachPage"/>
      </w:footnotePr>
      <w:pgSz w:w="11906" w:h="16838"/>
      <w:pgMar w:top="2098" w:right="1588" w:bottom="1843" w:left="1588" w:header="851" w:footer="1256" w:gutter="0"/>
      <w:pgNumType w:start="1"/>
      <w:cols w:space="425" w:num="1" w:sep="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hAnsiTheme="minorEastAsia"/>
        <w:sz w:val="32"/>
        <w:szCs w:val="32"/>
      </w:rPr>
      <w:id w:val="-1282648304"/>
    </w:sdtPr>
    <w:sdtEndPr>
      <w:rPr>
        <w:rFonts w:hint="eastAsia" w:ascii="仿宋_GB2312" w:eastAsia="仿宋_GB2312" w:hAnsiTheme="minorEastAsia"/>
        <w:sz w:val="32"/>
        <w:szCs w:val="32"/>
      </w:rPr>
    </w:sdtEndPr>
    <w:sdtContent>
      <w:p>
        <w:pPr>
          <w:pStyle w:val="8"/>
          <w:jc w:val="right"/>
          <w:rPr>
            <w:rFonts w:ascii="仿宋_GB2312" w:eastAsia="仿宋_GB2312" w:hAnsiTheme="minorEastAsia"/>
            <w:bCs/>
            <w:sz w:val="32"/>
            <w:szCs w:val="32"/>
          </w:rPr>
        </w:pPr>
        <w:r>
          <w:rPr>
            <w:rFonts w:hint="eastAsia" w:ascii="仿宋_GB2312" w:eastAsia="仿宋_GB2312" w:hAnsiTheme="minorEastAsia"/>
            <w:sz w:val="32"/>
            <w:szCs w:val="32"/>
          </w:rPr>
          <w:t>—</w:t>
        </w: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PAGE   \* MERGEFORMAT</w:instrText>
        </w:r>
        <w:r>
          <w:rPr>
            <w:rFonts w:hint="eastAsia" w:ascii="仿宋_GB2312" w:eastAsia="仿宋_GB2312" w:hAnsiTheme="minorEastAsia"/>
            <w:sz w:val="32"/>
            <w:szCs w:val="32"/>
          </w:rPr>
          <w:fldChar w:fldCharType="separate"/>
        </w:r>
        <w:r>
          <w:rPr>
            <w:rFonts w:ascii="仿宋_GB2312" w:eastAsia="仿宋_GB2312" w:hAnsiTheme="minorEastAsia"/>
            <w:sz w:val="32"/>
            <w:szCs w:val="32"/>
            <w:lang w:val="zh-CN"/>
          </w:rPr>
          <w:t>19</w:t>
        </w:r>
        <w:r>
          <w:rPr>
            <w:rFonts w:hint="eastAsia" w:ascii="仿宋_GB2312" w:eastAsia="仿宋_GB2312" w:hAnsiTheme="minorEastAsia"/>
            <w:sz w:val="32"/>
            <w:szCs w:val="32"/>
          </w:rPr>
          <w:fldChar w:fldCharType="end"/>
        </w:r>
        <w:r>
          <w:rPr>
            <w:rFonts w:hint="eastAsia" w:ascii="仿宋_GB2312" w:eastAsia="仿宋_GB2312" w:hAnsiTheme="minorEastAsia"/>
            <w:sz w:val="32"/>
            <w:szCs w:val="32"/>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hAnsiTheme="minorEastAsia"/>
        <w:sz w:val="32"/>
        <w:szCs w:val="32"/>
      </w:rPr>
      <w:id w:val="1065993746"/>
    </w:sdtPr>
    <w:sdtEndPr>
      <w:rPr>
        <w:rFonts w:hint="eastAsia" w:ascii="仿宋_GB2312" w:eastAsia="仿宋_GB2312" w:hAnsiTheme="minorEastAsia"/>
        <w:sz w:val="32"/>
        <w:szCs w:val="32"/>
      </w:rPr>
    </w:sdtEndPr>
    <w:sdtContent>
      <w:p>
        <w:pPr>
          <w:pStyle w:val="8"/>
          <w:rPr>
            <w:rFonts w:ascii="仿宋_GB2312" w:eastAsia="仿宋_GB2312" w:hAnsiTheme="minorEastAsia"/>
            <w:bCs/>
            <w:sz w:val="32"/>
            <w:szCs w:val="32"/>
          </w:rPr>
        </w:pPr>
        <w:r>
          <w:rPr>
            <w:rFonts w:hint="eastAsia" w:ascii="仿宋_GB2312" w:eastAsia="仿宋_GB2312" w:hAnsiTheme="minorEastAsia"/>
            <w:sz w:val="32"/>
            <w:szCs w:val="32"/>
          </w:rPr>
          <w:t>—</w:t>
        </w: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PAGE   \* MERGEFORMAT</w:instrText>
        </w:r>
        <w:r>
          <w:rPr>
            <w:rFonts w:hint="eastAsia" w:ascii="仿宋_GB2312" w:eastAsia="仿宋_GB2312" w:hAnsiTheme="minorEastAsia"/>
            <w:sz w:val="32"/>
            <w:szCs w:val="32"/>
          </w:rPr>
          <w:fldChar w:fldCharType="separate"/>
        </w:r>
        <w:r>
          <w:rPr>
            <w:rFonts w:ascii="仿宋_GB2312" w:eastAsia="仿宋_GB2312" w:hAnsiTheme="minorEastAsia"/>
            <w:sz w:val="32"/>
            <w:szCs w:val="32"/>
            <w:lang w:val="zh-CN"/>
          </w:rPr>
          <w:t>20</w:t>
        </w:r>
        <w:r>
          <w:rPr>
            <w:rFonts w:hint="eastAsia" w:ascii="仿宋_GB2312" w:eastAsia="仿宋_GB2312" w:hAnsiTheme="minorEastAsia"/>
            <w:sz w:val="32"/>
            <w:szCs w:val="32"/>
          </w:rPr>
          <w:fldChar w:fldCharType="end"/>
        </w:r>
        <w:r>
          <w:rPr>
            <w:rFonts w:hint="eastAsia" w:ascii="仿宋_GB2312" w:eastAsia="仿宋_GB2312" w:hAnsiTheme="minorEastAsia"/>
            <w:sz w:val="32"/>
            <w:szCs w:val="32"/>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D3CA5"/>
    <w:multiLevelType w:val="singleLevel"/>
    <w:tmpl w:val="58AD3CA5"/>
    <w:lvl w:ilvl="0" w:tentative="0">
      <w:start w:val="1"/>
      <w:numFmt w:val="chineseCounting"/>
      <w:suff w:val="space"/>
      <w:lvlText w:val="第%1章"/>
      <w:lvlJc w:val="left"/>
    </w:lvl>
  </w:abstractNum>
  <w:abstractNum w:abstractNumId="1">
    <w:nsid w:val="58AD3D7F"/>
    <w:multiLevelType w:val="singleLevel"/>
    <w:tmpl w:val="58AD3D7F"/>
    <w:lvl w:ilvl="0" w:tentative="0">
      <w:start w:val="1"/>
      <w:numFmt w:val="chineseCounting"/>
      <w:suff w:val="nothing"/>
      <w:lvlText w:val="%1、"/>
      <w:lvlJc w:val="left"/>
    </w:lvl>
  </w:abstractNum>
  <w:abstractNum w:abstractNumId="2">
    <w:nsid w:val="58AD46F6"/>
    <w:multiLevelType w:val="singleLevel"/>
    <w:tmpl w:val="58AD46F6"/>
    <w:lvl w:ilvl="0" w:tentative="0">
      <w:start w:val="1"/>
      <w:numFmt w:val="upperLetter"/>
      <w:suff w:val="nothing"/>
      <w:lvlText w:val="%1、"/>
      <w:lvlJc w:val="left"/>
    </w:lvl>
  </w:abstractNum>
  <w:abstractNum w:abstractNumId="3">
    <w:nsid w:val="58AD48BA"/>
    <w:multiLevelType w:val="singleLevel"/>
    <w:tmpl w:val="58AD48BA"/>
    <w:lvl w:ilvl="0" w:tentative="0">
      <w:start w:val="1"/>
      <w:numFmt w:val="upperLetter"/>
      <w:suff w:val="nothing"/>
      <w:lvlText w:val="%1、"/>
      <w:lvlJc w:val="left"/>
    </w:lvl>
  </w:abstractNum>
  <w:abstractNum w:abstractNumId="4">
    <w:nsid w:val="58AD532B"/>
    <w:multiLevelType w:val="singleLevel"/>
    <w:tmpl w:val="58AD532B"/>
    <w:lvl w:ilvl="0" w:tentative="0">
      <w:start w:val="1"/>
      <w:numFmt w:val="upperLetter"/>
      <w:suff w:val="nothing"/>
      <w:lvlText w:val="%1、"/>
      <w:lvlJc w:val="left"/>
    </w:lvl>
  </w:abstractNum>
  <w:abstractNum w:abstractNumId="5">
    <w:nsid w:val="58AD569F"/>
    <w:multiLevelType w:val="singleLevel"/>
    <w:tmpl w:val="58AD569F"/>
    <w:lvl w:ilvl="0" w:tentative="0">
      <w:start w:val="1"/>
      <w:numFmt w:val="upperLetter"/>
      <w:suff w:val="nothing"/>
      <w:lvlText w:val="%1、"/>
      <w:lvlJc w:val="left"/>
    </w:lvl>
  </w:abstractNum>
  <w:abstractNum w:abstractNumId="6">
    <w:nsid w:val="58AE3CDC"/>
    <w:multiLevelType w:val="singleLevel"/>
    <w:tmpl w:val="58AE3CDC"/>
    <w:lvl w:ilvl="0" w:tentative="0">
      <w:start w:val="1"/>
      <w:numFmt w:val="upperLetter"/>
      <w:suff w:val="nothing"/>
      <w:lvlText w:val="%1、"/>
      <w:lvlJc w:val="left"/>
    </w:lvl>
  </w:abstractNum>
  <w:abstractNum w:abstractNumId="7">
    <w:nsid w:val="58AE3D85"/>
    <w:multiLevelType w:val="singleLevel"/>
    <w:tmpl w:val="58AE3D85"/>
    <w:lvl w:ilvl="0" w:tentative="0">
      <w:start w:val="1"/>
      <w:numFmt w:val="upperLetter"/>
      <w:suff w:val="nothing"/>
      <w:lvlText w:val="%1、"/>
      <w:lvlJc w:val="left"/>
    </w:lvl>
  </w:abstractNum>
  <w:abstractNum w:abstractNumId="8">
    <w:nsid w:val="58AE3DD1"/>
    <w:multiLevelType w:val="singleLevel"/>
    <w:tmpl w:val="58AE3DD1"/>
    <w:lvl w:ilvl="0" w:tentative="0">
      <w:start w:val="1"/>
      <w:numFmt w:val="upperLetter"/>
      <w:suff w:val="nothing"/>
      <w:lvlText w:val="%1、"/>
      <w:lvlJc w:val="left"/>
    </w:lvl>
  </w:abstractNum>
  <w:abstractNum w:abstractNumId="9">
    <w:nsid w:val="58AE3E15"/>
    <w:multiLevelType w:val="singleLevel"/>
    <w:tmpl w:val="58AE3E15"/>
    <w:lvl w:ilvl="0" w:tentative="0">
      <w:start w:val="1"/>
      <w:numFmt w:val="decimal"/>
      <w:suff w:val="nothing"/>
      <w:lvlText w:val="（%1）"/>
      <w:lvlJc w:val="left"/>
    </w:lvl>
  </w:abstractNum>
  <w:abstractNum w:abstractNumId="10">
    <w:nsid w:val="58AE3EF9"/>
    <w:multiLevelType w:val="singleLevel"/>
    <w:tmpl w:val="58AE3EF9"/>
    <w:lvl w:ilvl="0" w:tentative="0">
      <w:start w:val="1"/>
      <w:numFmt w:val="upperLetter"/>
      <w:suff w:val="nothing"/>
      <w:lvlText w:val="%1、"/>
      <w:lvlJc w:val="left"/>
    </w:lvl>
  </w:abstractNum>
  <w:abstractNum w:abstractNumId="11">
    <w:nsid w:val="58AE4141"/>
    <w:multiLevelType w:val="singleLevel"/>
    <w:tmpl w:val="58AE4141"/>
    <w:lvl w:ilvl="0" w:tentative="0">
      <w:start w:val="1"/>
      <w:numFmt w:val="chineseCounting"/>
      <w:suff w:val="nothing"/>
      <w:lvlText w:val="%1、"/>
      <w:lvlJc w:val="left"/>
    </w:lvl>
  </w:abstractNum>
  <w:abstractNum w:abstractNumId="12">
    <w:nsid w:val="58AE4DA1"/>
    <w:multiLevelType w:val="singleLevel"/>
    <w:tmpl w:val="58AE4DA1"/>
    <w:lvl w:ilvl="0" w:tentative="0">
      <w:start w:val="1"/>
      <w:numFmt w:val="decimal"/>
      <w:suff w:val="nothing"/>
      <w:lvlText w:val="（%1）"/>
      <w:lvlJc w:val="left"/>
    </w:lvl>
  </w:abstractNum>
  <w:abstractNum w:abstractNumId="13">
    <w:nsid w:val="58AEA695"/>
    <w:multiLevelType w:val="singleLevel"/>
    <w:tmpl w:val="58AEA695"/>
    <w:lvl w:ilvl="0" w:tentative="0">
      <w:start w:val="1"/>
      <w:numFmt w:val="decimal"/>
      <w:suff w:val="nothing"/>
      <w:lvlText w:val="（%1）"/>
      <w:lvlJc w:val="left"/>
    </w:lvl>
  </w:abstractNum>
  <w:abstractNum w:abstractNumId="14">
    <w:nsid w:val="58AF9CCE"/>
    <w:multiLevelType w:val="singleLevel"/>
    <w:tmpl w:val="58AF9CCE"/>
    <w:lvl w:ilvl="0" w:tentative="0">
      <w:start w:val="1"/>
      <w:numFmt w:val="upperLetter"/>
      <w:suff w:val="nothing"/>
      <w:lvlText w:val="%1、"/>
      <w:lvlJc w:val="left"/>
    </w:lvl>
  </w:abstractNum>
  <w:num w:numId="1">
    <w:abstractNumId w:val="0"/>
  </w:num>
  <w:num w:numId="2">
    <w:abstractNumId w:val="11"/>
  </w:num>
  <w:num w:numId="3">
    <w:abstractNumId w:val="1"/>
  </w:num>
  <w:num w:numId="4">
    <w:abstractNumId w:val="2"/>
  </w:num>
  <w:num w:numId="5">
    <w:abstractNumId w:val="5"/>
  </w:num>
  <w:num w:numId="6">
    <w:abstractNumId w:val="4"/>
  </w:num>
  <w:num w:numId="7">
    <w:abstractNumId w:val="3"/>
  </w:num>
  <w:num w:numId="8">
    <w:abstractNumId w:val="12"/>
  </w:num>
  <w:num w:numId="9">
    <w:abstractNumId w:val="14"/>
  </w:num>
  <w:num w:numId="10">
    <w:abstractNumId w:val="9"/>
  </w:num>
  <w:num w:numId="11">
    <w:abstractNumId w:val="6"/>
  </w:num>
  <w:num w:numId="12">
    <w:abstractNumId w:val="7"/>
  </w:num>
  <w:num w:numId="13">
    <w:abstractNumId w:val="8"/>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ZTM3NDQyM2M5NjA0Zjc4ZDhjOGMxODBmZmQ2ZjcifQ=="/>
  </w:docVars>
  <w:rsids>
    <w:rsidRoot w:val="003F2BAE"/>
    <w:rsid w:val="0002787A"/>
    <w:rsid w:val="00080E65"/>
    <w:rsid w:val="00087671"/>
    <w:rsid w:val="0009611F"/>
    <w:rsid w:val="000B153F"/>
    <w:rsid w:val="000B556B"/>
    <w:rsid w:val="000D639D"/>
    <w:rsid w:val="000E7AF3"/>
    <w:rsid w:val="000F070A"/>
    <w:rsid w:val="00111415"/>
    <w:rsid w:val="00111CAA"/>
    <w:rsid w:val="001447E5"/>
    <w:rsid w:val="00147956"/>
    <w:rsid w:val="001529B9"/>
    <w:rsid w:val="00154DE5"/>
    <w:rsid w:val="001969D2"/>
    <w:rsid w:val="001A5C49"/>
    <w:rsid w:val="001E3F87"/>
    <w:rsid w:val="001F7129"/>
    <w:rsid w:val="00207D18"/>
    <w:rsid w:val="00214B7A"/>
    <w:rsid w:val="00215029"/>
    <w:rsid w:val="002217F2"/>
    <w:rsid w:val="00247C60"/>
    <w:rsid w:val="00283284"/>
    <w:rsid w:val="00286050"/>
    <w:rsid w:val="002A4150"/>
    <w:rsid w:val="00302522"/>
    <w:rsid w:val="00340200"/>
    <w:rsid w:val="003462B9"/>
    <w:rsid w:val="00377FB4"/>
    <w:rsid w:val="0038729F"/>
    <w:rsid w:val="00392848"/>
    <w:rsid w:val="00396362"/>
    <w:rsid w:val="00397AE2"/>
    <w:rsid w:val="003B13C5"/>
    <w:rsid w:val="003B61C6"/>
    <w:rsid w:val="003C69BB"/>
    <w:rsid w:val="003E0DAC"/>
    <w:rsid w:val="003F2BAE"/>
    <w:rsid w:val="00441354"/>
    <w:rsid w:val="004433FA"/>
    <w:rsid w:val="00454E23"/>
    <w:rsid w:val="00481F24"/>
    <w:rsid w:val="004A75BA"/>
    <w:rsid w:val="004D2E7D"/>
    <w:rsid w:val="005042C9"/>
    <w:rsid w:val="00521333"/>
    <w:rsid w:val="00536323"/>
    <w:rsid w:val="005539C6"/>
    <w:rsid w:val="005C0317"/>
    <w:rsid w:val="005C6E1B"/>
    <w:rsid w:val="00646FEA"/>
    <w:rsid w:val="006540EB"/>
    <w:rsid w:val="00681AF9"/>
    <w:rsid w:val="0068434C"/>
    <w:rsid w:val="006922C8"/>
    <w:rsid w:val="006F053C"/>
    <w:rsid w:val="00707E6B"/>
    <w:rsid w:val="00710FFA"/>
    <w:rsid w:val="007166A6"/>
    <w:rsid w:val="00723669"/>
    <w:rsid w:val="007675E3"/>
    <w:rsid w:val="00781C1B"/>
    <w:rsid w:val="007A65CC"/>
    <w:rsid w:val="007E5B8A"/>
    <w:rsid w:val="007E6A9C"/>
    <w:rsid w:val="007F4472"/>
    <w:rsid w:val="008117D0"/>
    <w:rsid w:val="00845F2D"/>
    <w:rsid w:val="008813D8"/>
    <w:rsid w:val="00881D7D"/>
    <w:rsid w:val="008A5D0F"/>
    <w:rsid w:val="008D1634"/>
    <w:rsid w:val="008D26D9"/>
    <w:rsid w:val="009215FA"/>
    <w:rsid w:val="00923AED"/>
    <w:rsid w:val="009620D1"/>
    <w:rsid w:val="00981CC2"/>
    <w:rsid w:val="00992C93"/>
    <w:rsid w:val="00995D82"/>
    <w:rsid w:val="009B1C8F"/>
    <w:rsid w:val="009F4DF6"/>
    <w:rsid w:val="00A30B38"/>
    <w:rsid w:val="00A51C95"/>
    <w:rsid w:val="00A73286"/>
    <w:rsid w:val="00AA60C4"/>
    <w:rsid w:val="00AC4E40"/>
    <w:rsid w:val="00AE374E"/>
    <w:rsid w:val="00B01B4A"/>
    <w:rsid w:val="00B224C2"/>
    <w:rsid w:val="00B44A01"/>
    <w:rsid w:val="00B854D4"/>
    <w:rsid w:val="00BC1340"/>
    <w:rsid w:val="00BE15DA"/>
    <w:rsid w:val="00BF16A1"/>
    <w:rsid w:val="00C029E3"/>
    <w:rsid w:val="00C75FE7"/>
    <w:rsid w:val="00C92CB5"/>
    <w:rsid w:val="00CB7062"/>
    <w:rsid w:val="00CC4D71"/>
    <w:rsid w:val="00D11626"/>
    <w:rsid w:val="00D61AE5"/>
    <w:rsid w:val="00D8018B"/>
    <w:rsid w:val="00DF098B"/>
    <w:rsid w:val="00E07DD0"/>
    <w:rsid w:val="00E44F6A"/>
    <w:rsid w:val="00E71A86"/>
    <w:rsid w:val="00EA09FB"/>
    <w:rsid w:val="00EA1AFD"/>
    <w:rsid w:val="00EB0867"/>
    <w:rsid w:val="00EC1D74"/>
    <w:rsid w:val="00EC5DE8"/>
    <w:rsid w:val="00F2225B"/>
    <w:rsid w:val="00F2764C"/>
    <w:rsid w:val="00F5620D"/>
    <w:rsid w:val="00F63E38"/>
    <w:rsid w:val="00F729F2"/>
    <w:rsid w:val="00F904CE"/>
    <w:rsid w:val="00FF5359"/>
    <w:rsid w:val="0277450E"/>
    <w:rsid w:val="09FD6AF0"/>
    <w:rsid w:val="14E352D9"/>
    <w:rsid w:val="14F55E9B"/>
    <w:rsid w:val="161D6BD6"/>
    <w:rsid w:val="17CD2CF7"/>
    <w:rsid w:val="1E5C7928"/>
    <w:rsid w:val="1F7C79DE"/>
    <w:rsid w:val="20B910B5"/>
    <w:rsid w:val="20CA7097"/>
    <w:rsid w:val="25A33844"/>
    <w:rsid w:val="26B4560A"/>
    <w:rsid w:val="27BD7BD4"/>
    <w:rsid w:val="27E969A9"/>
    <w:rsid w:val="29A11E58"/>
    <w:rsid w:val="31316F4A"/>
    <w:rsid w:val="31C86806"/>
    <w:rsid w:val="41643C3C"/>
    <w:rsid w:val="43E265E5"/>
    <w:rsid w:val="45F2392D"/>
    <w:rsid w:val="46C45E91"/>
    <w:rsid w:val="4FA431C3"/>
    <w:rsid w:val="56772E27"/>
    <w:rsid w:val="5B426CDC"/>
    <w:rsid w:val="60593C1B"/>
    <w:rsid w:val="641D3225"/>
    <w:rsid w:val="6492442F"/>
    <w:rsid w:val="683B7C05"/>
    <w:rsid w:val="685C659E"/>
    <w:rsid w:val="68FC67E2"/>
    <w:rsid w:val="75780363"/>
    <w:rsid w:val="775C3BFB"/>
    <w:rsid w:val="783C5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1"/>
    <w:semiHidden/>
    <w:qFormat/>
    <w:uiPriority w:val="0"/>
    <w:pPr>
      <w:jc w:val="left"/>
    </w:pPr>
  </w:style>
  <w:style w:type="paragraph" w:styleId="3">
    <w:name w:val="Body Text"/>
    <w:basedOn w:val="1"/>
    <w:link w:val="24"/>
    <w:unhideWhenUsed/>
    <w:qFormat/>
    <w:uiPriority w:val="0"/>
    <w:pPr>
      <w:spacing w:after="120"/>
    </w:pPr>
  </w:style>
  <w:style w:type="paragraph" w:styleId="4">
    <w:name w:val="Body Text Indent"/>
    <w:basedOn w:val="1"/>
    <w:link w:val="23"/>
    <w:qFormat/>
    <w:uiPriority w:val="0"/>
    <w:pPr>
      <w:adjustRightInd w:val="0"/>
      <w:snapToGrid w:val="0"/>
      <w:spacing w:line="460" w:lineRule="atLeast"/>
      <w:ind w:firstLine="461" w:firstLineChars="192"/>
    </w:pPr>
    <w:rPr>
      <w:sz w:val="24"/>
    </w:rPr>
  </w:style>
  <w:style w:type="paragraph" w:styleId="5">
    <w:name w:val="Date"/>
    <w:basedOn w:val="1"/>
    <w:next w:val="1"/>
    <w:link w:val="28"/>
    <w:qFormat/>
    <w:uiPriority w:val="0"/>
    <w:pPr>
      <w:ind w:left="100" w:leftChars="2500"/>
    </w:pPr>
    <w:rPr>
      <w:rFonts w:ascii="仿宋_GB2312" w:eastAsia="仿宋_GB2312"/>
      <w:sz w:val="32"/>
    </w:rPr>
  </w:style>
  <w:style w:type="paragraph" w:styleId="6">
    <w:name w:val="Body Text Indent 2"/>
    <w:basedOn w:val="1"/>
    <w:link w:val="26"/>
    <w:qFormat/>
    <w:uiPriority w:val="0"/>
    <w:pPr>
      <w:adjustRightInd w:val="0"/>
      <w:snapToGrid w:val="0"/>
      <w:spacing w:line="460" w:lineRule="atLeast"/>
      <w:ind w:left="461"/>
    </w:pPr>
    <w:rPr>
      <w:sz w:val="24"/>
    </w:rPr>
  </w:style>
  <w:style w:type="paragraph" w:styleId="7">
    <w:name w:val="Balloon Text"/>
    <w:basedOn w:val="1"/>
    <w:link w:val="30"/>
    <w:semiHidden/>
    <w:qFormat/>
    <w:uiPriority w:val="0"/>
    <w:rPr>
      <w:sz w:val="18"/>
      <w:szCs w:val="18"/>
    </w:rPr>
  </w:style>
  <w:style w:type="paragraph" w:styleId="8">
    <w:name w:val="footer"/>
    <w:basedOn w:val="1"/>
    <w:link w:val="22"/>
    <w:unhideWhenUsed/>
    <w:qFormat/>
    <w:uiPriority w:val="0"/>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9"/>
    <w:semiHidden/>
    <w:qFormat/>
    <w:uiPriority w:val="0"/>
    <w:pPr>
      <w:snapToGrid w:val="0"/>
      <w:jc w:val="left"/>
    </w:pPr>
    <w:rPr>
      <w:sz w:val="18"/>
      <w:szCs w:val="18"/>
    </w:rPr>
  </w:style>
  <w:style w:type="paragraph" w:styleId="11">
    <w:name w:val="Body Text Indent 3"/>
    <w:basedOn w:val="1"/>
    <w:link w:val="27"/>
    <w:qFormat/>
    <w:uiPriority w:val="0"/>
    <w:pPr>
      <w:adjustRightInd w:val="0"/>
      <w:snapToGrid w:val="0"/>
      <w:spacing w:line="560" w:lineRule="atLeast"/>
      <w:ind w:firstLine="614" w:firstLineChars="192"/>
    </w:pPr>
    <w:rPr>
      <w:rFonts w:eastAsia="仿宋_GB2312"/>
      <w:sz w:val="32"/>
    </w:rPr>
  </w:style>
  <w:style w:type="paragraph" w:styleId="12">
    <w:name w:val="annotation subject"/>
    <w:basedOn w:val="2"/>
    <w:next w:val="2"/>
    <w:link w:val="32"/>
    <w:semiHidden/>
    <w:qFormat/>
    <w:uiPriority w:val="0"/>
    <w:rPr>
      <w:b/>
      <w:bCs/>
    </w:rPr>
  </w:style>
  <w:style w:type="table" w:styleId="14">
    <w:name w:val="Table Grid"/>
    <w:basedOn w:val="13"/>
    <w:qFormat/>
    <w:uiPriority w:val="0"/>
    <w:pPr>
      <w:widowControl w:val="0"/>
      <w:jc w:val="both"/>
    </w:pPr>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basedOn w:val="15"/>
    <w:qFormat/>
    <w:uiPriority w:val="0"/>
  </w:style>
  <w:style w:type="character" w:styleId="18">
    <w:name w:val="Hyperlink"/>
    <w:qFormat/>
    <w:uiPriority w:val="0"/>
    <w:rPr>
      <w:color w:val="0000FF"/>
      <w:u w:val="single"/>
    </w:rPr>
  </w:style>
  <w:style w:type="character" w:styleId="19">
    <w:name w:val="annotation reference"/>
    <w:basedOn w:val="15"/>
    <w:semiHidden/>
    <w:qFormat/>
    <w:uiPriority w:val="0"/>
    <w:rPr>
      <w:sz w:val="21"/>
      <w:szCs w:val="21"/>
    </w:rPr>
  </w:style>
  <w:style w:type="character" w:styleId="20">
    <w:name w:val="footnote reference"/>
    <w:semiHidden/>
    <w:qFormat/>
    <w:uiPriority w:val="0"/>
    <w:rPr>
      <w:vertAlign w:val="superscript"/>
    </w:rPr>
  </w:style>
  <w:style w:type="character" w:customStyle="1" w:styleId="21">
    <w:name w:val="页眉 字符"/>
    <w:basedOn w:val="15"/>
    <w:link w:val="9"/>
    <w:qFormat/>
    <w:uiPriority w:val="99"/>
    <w:rPr>
      <w:sz w:val="18"/>
      <w:szCs w:val="18"/>
    </w:rPr>
  </w:style>
  <w:style w:type="character" w:customStyle="1" w:styleId="22">
    <w:name w:val="页脚 字符"/>
    <w:basedOn w:val="15"/>
    <w:link w:val="8"/>
    <w:qFormat/>
    <w:uiPriority w:val="99"/>
    <w:rPr>
      <w:sz w:val="18"/>
      <w:szCs w:val="18"/>
    </w:rPr>
  </w:style>
  <w:style w:type="character" w:customStyle="1" w:styleId="23">
    <w:name w:val="正文文本缩进 字符"/>
    <w:basedOn w:val="15"/>
    <w:link w:val="4"/>
    <w:qFormat/>
    <w:uiPriority w:val="0"/>
    <w:rPr>
      <w:rFonts w:eastAsia="宋体" w:cs="Times New Roman"/>
      <w:sz w:val="24"/>
      <w:szCs w:val="24"/>
    </w:rPr>
  </w:style>
  <w:style w:type="character" w:customStyle="1" w:styleId="24">
    <w:name w:val="正文文本 字符"/>
    <w:basedOn w:val="15"/>
    <w:link w:val="3"/>
    <w:qFormat/>
    <w:uiPriority w:val="0"/>
    <w:rPr>
      <w:rFonts w:eastAsia="宋体" w:cs="Times New Roman"/>
      <w:szCs w:val="24"/>
    </w:rPr>
  </w:style>
  <w:style w:type="character" w:customStyle="1" w:styleId="25">
    <w:name w:val="text11"/>
    <w:qFormat/>
    <w:uiPriority w:val="0"/>
    <w:rPr>
      <w:rFonts w:hint="default" w:ascii="_GB2312" w:hAnsi="_GB2312"/>
      <w:sz w:val="20"/>
      <w:szCs w:val="20"/>
    </w:rPr>
  </w:style>
  <w:style w:type="character" w:customStyle="1" w:styleId="26">
    <w:name w:val="正文文本缩进 2 字符"/>
    <w:basedOn w:val="15"/>
    <w:link w:val="6"/>
    <w:qFormat/>
    <w:uiPriority w:val="0"/>
    <w:rPr>
      <w:rFonts w:eastAsia="宋体" w:cs="Times New Roman"/>
      <w:sz w:val="24"/>
      <w:szCs w:val="24"/>
    </w:rPr>
  </w:style>
  <w:style w:type="character" w:customStyle="1" w:styleId="27">
    <w:name w:val="正文文本缩进 3 字符"/>
    <w:basedOn w:val="15"/>
    <w:link w:val="11"/>
    <w:qFormat/>
    <w:uiPriority w:val="0"/>
    <w:rPr>
      <w:rFonts w:eastAsia="仿宋_GB2312" w:cs="Times New Roman"/>
      <w:sz w:val="32"/>
      <w:szCs w:val="24"/>
    </w:rPr>
  </w:style>
  <w:style w:type="character" w:customStyle="1" w:styleId="28">
    <w:name w:val="日期 字符"/>
    <w:basedOn w:val="15"/>
    <w:link w:val="5"/>
    <w:qFormat/>
    <w:uiPriority w:val="0"/>
    <w:rPr>
      <w:rFonts w:ascii="仿宋_GB2312" w:eastAsia="仿宋_GB2312" w:cs="Times New Roman"/>
      <w:sz w:val="32"/>
      <w:szCs w:val="24"/>
    </w:rPr>
  </w:style>
  <w:style w:type="character" w:customStyle="1" w:styleId="29">
    <w:name w:val="脚注文本 字符"/>
    <w:basedOn w:val="15"/>
    <w:link w:val="10"/>
    <w:semiHidden/>
    <w:qFormat/>
    <w:uiPriority w:val="0"/>
    <w:rPr>
      <w:rFonts w:eastAsia="宋体" w:cs="Times New Roman"/>
      <w:sz w:val="18"/>
      <w:szCs w:val="18"/>
    </w:rPr>
  </w:style>
  <w:style w:type="character" w:customStyle="1" w:styleId="30">
    <w:name w:val="批注框文本 字符"/>
    <w:basedOn w:val="15"/>
    <w:link w:val="7"/>
    <w:semiHidden/>
    <w:qFormat/>
    <w:uiPriority w:val="0"/>
    <w:rPr>
      <w:rFonts w:eastAsia="宋体" w:cs="Times New Roman"/>
      <w:sz w:val="18"/>
      <w:szCs w:val="18"/>
    </w:rPr>
  </w:style>
  <w:style w:type="character" w:customStyle="1" w:styleId="31">
    <w:name w:val="批注文字 字符"/>
    <w:basedOn w:val="15"/>
    <w:link w:val="2"/>
    <w:semiHidden/>
    <w:qFormat/>
    <w:uiPriority w:val="0"/>
    <w:rPr>
      <w:rFonts w:eastAsia="宋体" w:cs="Times New Roman"/>
      <w:szCs w:val="24"/>
    </w:rPr>
  </w:style>
  <w:style w:type="character" w:customStyle="1" w:styleId="32">
    <w:name w:val="批注主题 字符"/>
    <w:basedOn w:val="31"/>
    <w:link w:val="12"/>
    <w:semiHidden/>
    <w:qFormat/>
    <w:uiPriority w:val="0"/>
    <w:rPr>
      <w:rFonts w:eastAsia="宋体" w:cs="Times New Roman"/>
      <w:b/>
      <w:bCs/>
      <w:szCs w:val="24"/>
    </w:rPr>
  </w:style>
  <w:style w:type="paragraph" w:customStyle="1" w:styleId="33">
    <w:name w:val="_Style 2"/>
    <w:basedOn w:val="1"/>
    <w:qFormat/>
    <w:uiPriority w:val="34"/>
    <w:pPr>
      <w:ind w:firstLine="420" w:firstLineChars="200"/>
    </w:pPr>
  </w:style>
  <w:style w:type="paragraph" w:styleId="3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464659-0C84-4F99-A6F4-C768C6CE2002}">
  <ds:schemaRefs/>
</ds:datastoreItem>
</file>

<file path=docProps/app.xml><?xml version="1.0" encoding="utf-8"?>
<Properties xmlns="http://schemas.openxmlformats.org/officeDocument/2006/extended-properties" xmlns:vt="http://schemas.openxmlformats.org/officeDocument/2006/docPropsVTypes">
  <Template>Normal</Template>
  <Company>^_^</Company>
  <Pages>20</Pages>
  <Words>1140</Words>
  <Characters>6498</Characters>
  <Lines>54</Lines>
  <Paragraphs>15</Paragraphs>
  <TotalTime>141</TotalTime>
  <ScaleCrop>false</ScaleCrop>
  <LinksUpToDate>false</LinksUpToDate>
  <CharactersWithSpaces>7623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2020-06-05T09:43:00Z</dcterms:created>
  <dc:creator>Yifan</dc:creator>
  <cp:lastModifiedBy>白腩</cp:lastModifiedBy>
  <cp:lastPrinted>2020-08-24T07:45:00Z</cp:lastPrinted>
  <dcterms:modified xsi:type="dcterms:W3CDTF">2023-04-28T07:51:52Z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212E93C1C72A4A7AB682DC431861B37C_12</vt:lpwstr>
  </property>
</Properties>
</file>